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C7" w:rsidRDefault="00861AC7">
      <w:pPr>
        <w:spacing w:after="0"/>
        <w:jc w:val="center"/>
        <w:rPr>
          <w:rFonts w:ascii="Arial" w:eastAsia="Arial" w:hAnsi="Arial" w:cs="Arial"/>
          <w:color w:val="1F497D"/>
          <w:sz w:val="32"/>
          <w:szCs w:val="32"/>
        </w:rPr>
      </w:pPr>
    </w:p>
    <w:tbl>
      <w:tblPr>
        <w:tblStyle w:val="StGen0"/>
        <w:tblW w:w="9742" w:type="dxa"/>
        <w:jc w:val="center"/>
        <w:tblInd w:w="-799" w:type="dxa"/>
        <w:tblLayout w:type="fixed"/>
        <w:tblLook w:val="0400" w:firstRow="0" w:lastRow="0" w:firstColumn="0" w:lastColumn="0" w:noHBand="0" w:noVBand="1"/>
      </w:tblPr>
      <w:tblGrid>
        <w:gridCol w:w="1764"/>
        <w:gridCol w:w="1782"/>
        <w:gridCol w:w="1755"/>
        <w:gridCol w:w="1846"/>
        <w:gridCol w:w="2595"/>
      </w:tblGrid>
      <w:tr w:rsidR="00861AC7" w:rsidTr="0053036B">
        <w:trPr>
          <w:trHeight w:val="1443"/>
          <w:jc w:val="center"/>
        </w:trPr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861AC7" w:rsidRDefault="00282E08">
            <w:pPr>
              <w:ind w:left="2409" w:hanging="2409"/>
              <w:jc w:val="center"/>
              <w:rPr>
                <w:rFonts w:ascii="Arial" w:eastAsia="Arial" w:hAnsi="Arial" w:cs="Arial"/>
                <w:color w:val="1F497D"/>
                <w:sz w:val="32"/>
                <w:szCs w:val="32"/>
              </w:rPr>
            </w:pPr>
            <w:r>
              <w:rPr>
                <w:rFonts w:ascii="Arial" w:eastAsia="Arial" w:hAnsi="Arial" w:cs="Arial"/>
                <w:noProof/>
                <w:color w:val="1F497D"/>
                <w:sz w:val="32"/>
                <w:szCs w:val="32"/>
              </w:rPr>
              <w:drawing>
                <wp:inline distT="0" distB="0" distL="0" distR="0" wp14:anchorId="52B69FD0" wp14:editId="431DC062">
                  <wp:extent cx="485775" cy="847725"/>
                  <wp:effectExtent l="0" t="0" r="9525" b="9525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 bwMode="auto">
                          <a:xfrm>
                            <a:off x="0" y="0"/>
                            <a:ext cx="486084" cy="8482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2" w:type="dxa"/>
            <w:tcBorders>
              <w:bottom w:val="single" w:sz="4" w:space="0" w:color="auto"/>
            </w:tcBorders>
            <w:vAlign w:val="bottom"/>
          </w:tcPr>
          <w:p w:rsidR="00861AC7" w:rsidRDefault="00282E08">
            <w:pPr>
              <w:spacing w:line="276" w:lineRule="auto"/>
              <w:ind w:left="141" w:hanging="141"/>
              <w:jc w:val="center"/>
              <w:rPr>
                <w:rFonts w:ascii="Arial" w:eastAsia="Arial" w:hAnsi="Arial" w:cs="Arial"/>
                <w:color w:val="1F497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76A56ED" wp14:editId="7595AE71">
                  <wp:extent cx="671989" cy="790575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rcRect l="7857" r="7143"/>
                          <a:stretch/>
                        </pic:blipFill>
                        <pic:spPr bwMode="auto">
                          <a:xfrm>
                            <a:off x="0" y="0"/>
                            <a:ext cx="677377" cy="796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:rsidR="00861AC7" w:rsidRDefault="00282E08">
            <w:pPr>
              <w:jc w:val="center"/>
              <w:rPr>
                <w:rFonts w:ascii="Arial" w:eastAsia="Arial" w:hAnsi="Arial" w:cs="Arial"/>
                <w:color w:val="1F497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A5217EB" wp14:editId="0A6C5762">
                  <wp:extent cx="923925" cy="923925"/>
                  <wp:effectExtent l="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/>
                        </pic:blipFill>
                        <pic:spPr bwMode="auto">
                          <a:xfrm>
                            <a:off x="0" y="0"/>
                            <a:ext cx="9239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861AC7" w:rsidRDefault="00282E08">
            <w:pPr>
              <w:jc w:val="center"/>
              <w:rPr>
                <w:rFonts w:ascii="Arial" w:eastAsia="Arial" w:hAnsi="Arial" w:cs="Arial"/>
                <w:color w:val="1F497D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961093D" wp14:editId="1AAC63AC">
                  <wp:extent cx="809625" cy="809625"/>
                  <wp:effectExtent l="0" t="0" r="9525" b="9525"/>
                  <wp:docPr id="5" name="Рисунок 4" descr="Компания ИрНИТУ — о компании, фотографии офиса, контакты — Хабр Карье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омпания ИрНИТУ — о компании, фотографии офиса, контакты — Хабр Карьера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/>
                        </pic:blipFill>
                        <pic:spPr bwMode="auto">
                          <a:xfrm>
                            <a:off x="0" y="0"/>
                            <a:ext cx="811138" cy="811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5" w:type="dxa"/>
            <w:tcBorders>
              <w:bottom w:val="single" w:sz="4" w:space="0" w:color="auto"/>
            </w:tcBorders>
            <w:vAlign w:val="center"/>
          </w:tcPr>
          <w:p w:rsidR="00861AC7" w:rsidRDefault="00282E08">
            <w:r>
              <w:rPr>
                <w:noProof/>
              </w:rPr>
              <w:drawing>
                <wp:inline distT="0" distB="0" distL="0" distR="0" wp14:anchorId="6278705C" wp14:editId="417B6013">
                  <wp:extent cx="942740" cy="8953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613918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 t="7069" b="4170"/>
                          <a:stretch/>
                        </pic:blipFill>
                        <pic:spPr bwMode="auto">
                          <a:xfrm>
                            <a:off x="0" y="0"/>
                            <a:ext cx="939760" cy="89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036B" w:rsidRPr="0053036B" w:rsidTr="0053036B">
        <w:trPr>
          <w:trHeight w:val="57"/>
          <w:jc w:val="center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B60"/>
            <w:vAlign w:val="center"/>
          </w:tcPr>
          <w:p w:rsidR="0053036B" w:rsidRPr="0053036B" w:rsidRDefault="0053036B">
            <w:pPr>
              <w:ind w:left="2409" w:hanging="2409"/>
              <w:jc w:val="center"/>
              <w:rPr>
                <w:rFonts w:ascii="Arial" w:eastAsia="Arial" w:hAnsi="Arial" w:cs="Arial"/>
                <w:noProof/>
                <w:color w:val="1F497D"/>
                <w:sz w:val="6"/>
                <w:szCs w:val="6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B60"/>
            <w:vAlign w:val="bottom"/>
          </w:tcPr>
          <w:p w:rsidR="0053036B" w:rsidRPr="0053036B" w:rsidRDefault="0053036B">
            <w:pPr>
              <w:ind w:left="141" w:hanging="141"/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B60"/>
            <w:vAlign w:val="center"/>
          </w:tcPr>
          <w:p w:rsidR="0053036B" w:rsidRPr="0053036B" w:rsidRDefault="0053036B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B60"/>
            <w:vAlign w:val="center"/>
          </w:tcPr>
          <w:p w:rsidR="0053036B" w:rsidRPr="0053036B" w:rsidRDefault="0053036B">
            <w:pPr>
              <w:jc w:val="center"/>
              <w:rPr>
                <w:noProof/>
                <w:sz w:val="6"/>
                <w:szCs w:val="6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B60"/>
            <w:vAlign w:val="center"/>
          </w:tcPr>
          <w:p w:rsidR="0053036B" w:rsidRPr="0053036B" w:rsidRDefault="0053036B">
            <w:pPr>
              <w:rPr>
                <w:noProof/>
                <w:sz w:val="6"/>
                <w:szCs w:val="6"/>
              </w:rPr>
            </w:pPr>
          </w:p>
        </w:tc>
      </w:tr>
    </w:tbl>
    <w:p w:rsidR="00861AC7" w:rsidRDefault="00861AC7">
      <w:pPr>
        <w:spacing w:after="0"/>
        <w:jc w:val="center"/>
        <w:rPr>
          <w:rFonts w:ascii="Times New Roman" w:eastAsia="Times New Roman" w:hAnsi="Times New Roman" w:cs="Times New Roman"/>
        </w:rPr>
      </w:pPr>
    </w:p>
    <w:p w:rsidR="0053036B" w:rsidRDefault="0053036B">
      <w:pPr>
        <w:spacing w:after="0"/>
        <w:jc w:val="center"/>
        <w:rPr>
          <w:rFonts w:ascii="Times New Roman" w:eastAsia="Times New Roman" w:hAnsi="Times New Roman" w:cs="Times New Roman"/>
          <w:color w:val="1F497D"/>
          <w:lang w:val="en-US"/>
        </w:rPr>
      </w:pPr>
      <w:r>
        <w:rPr>
          <w:noProof/>
        </w:rPr>
        <w:drawing>
          <wp:inline distT="0" distB="0" distL="0" distR="0" wp14:anchorId="2515FCA4" wp14:editId="5789F765">
            <wp:extent cx="3219450" cy="156102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/>
                    </pic:cNvPicPr>
                  </pic:nvPicPr>
                  <pic:blipFill>
                    <a:blip r:embed="rId14"/>
                    <a:stretch/>
                  </pic:blipFill>
                  <pic:spPr bwMode="auto">
                    <a:xfrm>
                      <a:off x="0" y="0"/>
                      <a:ext cx="3257441" cy="15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36B" w:rsidRDefault="0053036B">
      <w:pPr>
        <w:spacing w:after="0"/>
        <w:jc w:val="center"/>
        <w:rPr>
          <w:rFonts w:ascii="Times New Roman" w:eastAsia="Times New Roman" w:hAnsi="Times New Roman" w:cs="Times New Roman"/>
          <w:color w:val="1F497D"/>
          <w:lang w:val="en-US"/>
        </w:rPr>
      </w:pPr>
    </w:p>
    <w:p w:rsidR="0053036B" w:rsidRDefault="0053036B">
      <w:pPr>
        <w:spacing w:after="0"/>
        <w:jc w:val="center"/>
        <w:rPr>
          <w:rFonts w:ascii="Times New Roman" w:eastAsia="Times New Roman" w:hAnsi="Times New Roman" w:cs="Times New Roman"/>
          <w:color w:val="1F497D"/>
          <w:lang w:val="en-US"/>
        </w:rPr>
      </w:pPr>
    </w:p>
    <w:p w:rsidR="0053036B" w:rsidRDefault="0053036B">
      <w:pPr>
        <w:spacing w:after="0"/>
        <w:jc w:val="center"/>
        <w:rPr>
          <w:rFonts w:ascii="Times New Roman" w:eastAsia="Times New Roman" w:hAnsi="Times New Roman" w:cs="Times New Roman"/>
          <w:color w:val="1F497D"/>
          <w:lang w:val="en-US"/>
        </w:rPr>
      </w:pPr>
    </w:p>
    <w:p w:rsidR="00861AC7" w:rsidRPr="0053036B" w:rsidRDefault="00282E08">
      <w:pPr>
        <w:spacing w:after="0"/>
        <w:jc w:val="center"/>
        <w:rPr>
          <w:rFonts w:ascii="Times New Roman" w:eastAsia="Times New Roman" w:hAnsi="Times New Roman" w:cs="Times New Roman"/>
          <w:color w:val="002B60"/>
          <w:sz w:val="24"/>
          <w:szCs w:val="24"/>
        </w:rPr>
      </w:pPr>
      <w:r w:rsidRPr="0053036B">
        <w:rPr>
          <w:rFonts w:ascii="Times New Roman" w:eastAsia="Times New Roman" w:hAnsi="Times New Roman" w:cs="Times New Roman"/>
          <w:color w:val="002B60"/>
          <w:sz w:val="24"/>
          <w:szCs w:val="24"/>
        </w:rPr>
        <w:t xml:space="preserve">Приглашаем вас к участию </w:t>
      </w:r>
      <w:proofErr w:type="gramStart"/>
      <w:r w:rsidRPr="0053036B">
        <w:rPr>
          <w:rFonts w:ascii="Times New Roman" w:eastAsia="Times New Roman" w:hAnsi="Times New Roman" w:cs="Times New Roman"/>
          <w:color w:val="002B60"/>
          <w:sz w:val="24"/>
          <w:szCs w:val="24"/>
        </w:rPr>
        <w:t>в</w:t>
      </w:r>
      <w:proofErr w:type="gramEnd"/>
      <w:r w:rsidRPr="0053036B">
        <w:rPr>
          <w:rFonts w:ascii="Times New Roman" w:eastAsia="Times New Roman" w:hAnsi="Times New Roman" w:cs="Times New Roman"/>
          <w:color w:val="002B60"/>
          <w:sz w:val="24"/>
          <w:szCs w:val="24"/>
        </w:rPr>
        <w:t xml:space="preserve"> </w:t>
      </w:r>
    </w:p>
    <w:p w:rsidR="00861AC7" w:rsidRPr="0053036B" w:rsidRDefault="00282E08">
      <w:pPr>
        <w:spacing w:after="0"/>
        <w:jc w:val="center"/>
        <w:rPr>
          <w:rFonts w:ascii="Times New Roman" w:eastAsia="Times New Roman" w:hAnsi="Times New Roman" w:cs="Times New Roman"/>
          <w:color w:val="002B60"/>
          <w:sz w:val="24"/>
          <w:szCs w:val="24"/>
        </w:rPr>
      </w:pPr>
      <w:r w:rsidRPr="0053036B">
        <w:rPr>
          <w:rFonts w:ascii="Times New Roman" w:eastAsia="Times New Roman" w:hAnsi="Times New Roman" w:cs="Times New Roman"/>
          <w:color w:val="002B60"/>
          <w:sz w:val="24"/>
          <w:szCs w:val="24"/>
        </w:rPr>
        <w:t xml:space="preserve">6-ой Международной научно-практической конференции </w:t>
      </w:r>
    </w:p>
    <w:p w:rsidR="00861AC7" w:rsidRPr="0053036B" w:rsidRDefault="00282E08">
      <w:pPr>
        <w:spacing w:after="0"/>
        <w:jc w:val="center"/>
        <w:rPr>
          <w:rFonts w:ascii="Times New Roman" w:eastAsia="Times New Roman" w:hAnsi="Times New Roman" w:cs="Times New Roman"/>
          <w:b/>
          <w:color w:val="002B60"/>
          <w:sz w:val="24"/>
          <w:szCs w:val="24"/>
        </w:rPr>
      </w:pPr>
      <w:r w:rsidRPr="0053036B">
        <w:rPr>
          <w:rFonts w:ascii="Times New Roman" w:eastAsia="Times New Roman" w:hAnsi="Times New Roman" w:cs="Times New Roman"/>
          <w:b/>
          <w:color w:val="002B60"/>
          <w:sz w:val="24"/>
          <w:szCs w:val="24"/>
        </w:rPr>
        <w:t>«Устойчивое развитие территорий»</w:t>
      </w:r>
    </w:p>
    <w:p w:rsidR="00861AC7" w:rsidRDefault="00861AC7">
      <w:pPr>
        <w:spacing w:after="0"/>
        <w:jc w:val="center"/>
        <w:rPr>
          <w:rFonts w:ascii="Times New Roman" w:eastAsia="Times New Roman" w:hAnsi="Times New Roman" w:cs="Times New Roman"/>
          <w:b/>
          <w:color w:val="1F497D"/>
        </w:rPr>
      </w:pPr>
    </w:p>
    <w:p w:rsidR="00861AC7" w:rsidRDefault="00282E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Место проведения:</w:t>
      </w:r>
      <w:r>
        <w:rPr>
          <w:rFonts w:ascii="Times New Roman" w:eastAsia="Times New Roman" w:hAnsi="Times New Roman" w:cs="Times New Roman"/>
        </w:rPr>
        <w:t xml:space="preserve"> НИУ МГСУ, Москва, Ярославское шоссе, д.26</w:t>
      </w:r>
    </w:p>
    <w:p w:rsidR="00861AC7" w:rsidRDefault="00282E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Время проведения Конференции:</w:t>
      </w:r>
      <w:r>
        <w:rPr>
          <w:rFonts w:ascii="Times New Roman" w:eastAsia="Times New Roman" w:hAnsi="Times New Roman" w:cs="Times New Roman"/>
        </w:rPr>
        <w:t xml:space="preserve"> 15-17 мая 2024 г.  </w:t>
      </w:r>
    </w:p>
    <w:p w:rsidR="00861AC7" w:rsidRDefault="00282E08" w:rsidP="0053036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Организаторы конференции:</w:t>
      </w:r>
      <w:r>
        <w:rPr>
          <w:rFonts w:ascii="Times New Roman" w:eastAsia="Times New Roman" w:hAnsi="Times New Roman" w:cs="Times New Roman"/>
        </w:rPr>
        <w:t xml:space="preserve"> </w:t>
      </w:r>
    </w:p>
    <w:p w:rsidR="00861AC7" w:rsidRDefault="00282E08" w:rsidP="00282E08">
      <w:pPr>
        <w:pStyle w:val="af8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</w:rPr>
        <w:t>ВО</w:t>
      </w:r>
      <w:proofErr w:type="gramEnd"/>
      <w:r>
        <w:rPr>
          <w:rFonts w:ascii="Times New Roman" w:eastAsia="Times New Roman" w:hAnsi="Times New Roman" w:cs="Times New Roman"/>
        </w:rPr>
        <w:t xml:space="preserve"> «Национальный исследовательский Московский государственный строительный университет» (НИУ МГСУ) </w:t>
      </w:r>
    </w:p>
    <w:p w:rsidR="00861AC7" w:rsidRDefault="00282E08" w:rsidP="00282E08">
      <w:pPr>
        <w:pStyle w:val="af8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Российская академия архитектуры и строительных наук (РААСН)</w:t>
      </w:r>
    </w:p>
    <w:p w:rsidR="00861AC7" w:rsidRDefault="00282E08" w:rsidP="00282E08">
      <w:pPr>
        <w:pStyle w:val="af8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Брестский государственный университет имени А. С. Пушкина (</w:t>
      </w:r>
      <w:proofErr w:type="spellStart"/>
      <w:r>
        <w:rPr>
          <w:rFonts w:ascii="Times New Roman" w:eastAsia="Times New Roman" w:hAnsi="Times New Roman" w:cs="Times New Roman"/>
        </w:rPr>
        <w:t>БрГУ</w:t>
      </w:r>
      <w:proofErr w:type="spellEnd"/>
      <w:r>
        <w:rPr>
          <w:rFonts w:ascii="Times New Roman" w:eastAsia="Times New Roman" w:hAnsi="Times New Roman" w:cs="Times New Roman"/>
        </w:rPr>
        <w:t xml:space="preserve"> имени А.С. Пушкина)</w:t>
      </w:r>
    </w:p>
    <w:p w:rsidR="00861AC7" w:rsidRDefault="00282E08" w:rsidP="00282E08">
      <w:pPr>
        <w:pStyle w:val="af8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Кыргызский</w:t>
      </w:r>
      <w:proofErr w:type="spellEnd"/>
      <w:r>
        <w:rPr>
          <w:rFonts w:ascii="Times New Roman" w:eastAsia="Times New Roman" w:hAnsi="Times New Roman" w:cs="Times New Roman"/>
        </w:rPr>
        <w:t xml:space="preserve"> Государственный Технический Университет им. И. </w:t>
      </w:r>
      <w:proofErr w:type="spellStart"/>
      <w:r>
        <w:rPr>
          <w:rFonts w:ascii="Times New Roman" w:eastAsia="Times New Roman" w:hAnsi="Times New Roman" w:cs="Times New Roman"/>
        </w:rPr>
        <w:t>Раззакова</w:t>
      </w:r>
      <w:proofErr w:type="spellEnd"/>
      <w:r>
        <w:rPr>
          <w:rFonts w:ascii="Times New Roman" w:eastAsia="Times New Roman" w:hAnsi="Times New Roman" w:cs="Times New Roman"/>
        </w:rPr>
        <w:t xml:space="preserve"> (КГТУ имени И. </w:t>
      </w:r>
      <w:proofErr w:type="spellStart"/>
      <w:r>
        <w:rPr>
          <w:rFonts w:ascii="Times New Roman" w:eastAsia="Times New Roman" w:hAnsi="Times New Roman" w:cs="Times New Roman"/>
        </w:rPr>
        <w:t>Раззакова</w:t>
      </w:r>
      <w:proofErr w:type="spellEnd"/>
      <w:r>
        <w:rPr>
          <w:rFonts w:ascii="Times New Roman" w:eastAsia="Times New Roman" w:hAnsi="Times New Roman" w:cs="Times New Roman"/>
        </w:rPr>
        <w:t>)</w:t>
      </w:r>
    </w:p>
    <w:p w:rsidR="00861AC7" w:rsidRDefault="00282E08" w:rsidP="00282E08">
      <w:pPr>
        <w:pStyle w:val="af8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</w:rPr>
        <w:t>ВО</w:t>
      </w:r>
      <w:proofErr w:type="gramEnd"/>
      <w:r>
        <w:rPr>
          <w:rFonts w:ascii="Times New Roman" w:eastAsia="Times New Roman" w:hAnsi="Times New Roman" w:cs="Times New Roman"/>
        </w:rPr>
        <w:t xml:space="preserve"> «Иркутский национальный исследовательский технический университет» (ИРНИТУ)</w:t>
      </w:r>
    </w:p>
    <w:p w:rsidR="00861AC7" w:rsidRDefault="00282E08" w:rsidP="0053036B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Конференция проводится при поддержке:</w:t>
      </w:r>
    </w:p>
    <w:p w:rsidR="00861AC7" w:rsidRDefault="00282E08" w:rsidP="00282E08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ГАУ Генплана Москвы</w:t>
      </w:r>
    </w:p>
    <w:p w:rsidR="00861AC7" w:rsidRDefault="00282E08" w:rsidP="00282E08">
      <w:pPr>
        <w:numPr>
          <w:ilvl w:val="0"/>
          <w:numId w:val="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Института градостроительства МО</w:t>
      </w:r>
    </w:p>
    <w:p w:rsidR="00861AC7" w:rsidRDefault="00282E08" w:rsidP="00282E08">
      <w:pPr>
        <w:pStyle w:val="af8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Брестский государственный технический университет (</w:t>
      </w:r>
      <w:proofErr w:type="spellStart"/>
      <w:r>
        <w:rPr>
          <w:rFonts w:ascii="Times New Roman" w:eastAsia="Times New Roman" w:hAnsi="Times New Roman" w:cs="Times New Roman"/>
        </w:rPr>
        <w:t>БрГТУ</w:t>
      </w:r>
      <w:proofErr w:type="spellEnd"/>
      <w:r>
        <w:rPr>
          <w:rFonts w:ascii="Times New Roman" w:eastAsia="Times New Roman" w:hAnsi="Times New Roman" w:cs="Times New Roman"/>
        </w:rPr>
        <w:t xml:space="preserve">) </w:t>
      </w:r>
    </w:p>
    <w:p w:rsidR="00861AC7" w:rsidRDefault="00282E08" w:rsidP="00282E08">
      <w:pPr>
        <w:pStyle w:val="af8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Белорусский национальный технический университет </w:t>
      </w:r>
      <w:r>
        <w:rPr>
          <w:rFonts w:ascii="Times New Roman" w:eastAsia="Times New Roman" w:hAnsi="Times New Roman" w:cs="Times New Roman"/>
          <w:color w:val="000000"/>
        </w:rPr>
        <w:t>(БНТУ)</w:t>
      </w:r>
    </w:p>
    <w:p w:rsidR="00861AC7" w:rsidRDefault="00282E08" w:rsidP="00282E08">
      <w:pPr>
        <w:pStyle w:val="af8"/>
        <w:numPr>
          <w:ilvl w:val="0"/>
          <w:numId w:val="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jc w:val="both"/>
        <w:rPr>
          <w:rFonts w:ascii="Liberation Sans" w:eastAsia="Liberation Sans" w:hAnsi="Liberation Sans" w:cs="Liberation Sans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</w:rPr>
        <w:t>Академия управления при Президенте Республики Беларусь</w:t>
      </w:r>
    </w:p>
    <w:p w:rsidR="00861AC7" w:rsidRDefault="00282E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ind w:firstLine="720"/>
        <w:jc w:val="both"/>
        <w:rPr>
          <w:rFonts w:ascii="Liberation Sans" w:eastAsia="Liberation Sans" w:hAnsi="Liberation Sans" w:cs="Liberation Sans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</w:rPr>
        <w:t>Конференция проводится в целях</w:t>
      </w:r>
      <w:r>
        <w:rPr>
          <w:rFonts w:ascii="Times New Roman" w:eastAsia="Times New Roman" w:hAnsi="Times New Roman" w:cs="Times New Roman"/>
        </w:rPr>
        <w:t xml:space="preserve"> популяризации результатов отечественных исследований в области архитектуры и градостроительства, расширения научного взаимодействия и формирования новых междисциплинарных проектов, а также развития научной коммуникации и компетенций молодых исследователей</w:t>
      </w:r>
      <w:r>
        <w:rPr>
          <w:rFonts w:ascii="Times New Roman" w:eastAsia="Times New Roman" w:hAnsi="Times New Roman" w:cs="Times New Roman"/>
        </w:rPr>
        <w:t xml:space="preserve"> для реализации приоритетов научно-технического развития.</w:t>
      </w:r>
    </w:p>
    <w:p w:rsidR="00861AC7" w:rsidRDefault="00282E08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Конференция поддерживает основные направления научных исследований НИУ МГСУ в соответствии с актуальными задачами градостроительной деятельности и архитектуры:</w:t>
      </w:r>
    </w:p>
    <w:p w:rsidR="00861AC7" w:rsidRDefault="00282E08" w:rsidP="00282E08">
      <w:pPr>
        <w:pStyle w:val="af8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содействия устойчивому развитию террит</w:t>
      </w:r>
      <w:r>
        <w:rPr>
          <w:rFonts w:ascii="Times New Roman" w:eastAsia="Times New Roman" w:hAnsi="Times New Roman" w:cs="Times New Roman"/>
          <w:color w:val="000000"/>
        </w:rPr>
        <w:t>ории Российской Федерации, возрождению и сохранению архитектурно-исторического наследия городов и иных поселений участие в процессе совершенствования среды жизнедеятельности человека и общества и ее экологических качеств на основе результатов архитектурно-</w:t>
      </w:r>
      <w:r>
        <w:rPr>
          <w:rFonts w:ascii="Times New Roman" w:eastAsia="Times New Roman" w:hAnsi="Times New Roman" w:cs="Times New Roman"/>
          <w:color w:val="000000"/>
        </w:rPr>
        <w:t>градостроительных исследований;</w:t>
      </w:r>
    </w:p>
    <w:p w:rsidR="00861AC7" w:rsidRDefault="00282E08" w:rsidP="00282E08">
      <w:pPr>
        <w:pStyle w:val="af8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расширения связей между наукой и практикой, участие в инновационной деятельности в области архитектуры, градостроительства и строительства;</w:t>
      </w:r>
    </w:p>
    <w:p w:rsidR="00861AC7" w:rsidRDefault="00282E08" w:rsidP="00282E08">
      <w:pPr>
        <w:pStyle w:val="af8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выявления и поддержки молодых ученых, предоставления им площадки для апробации иссле</w:t>
      </w:r>
      <w:r>
        <w:rPr>
          <w:rFonts w:ascii="Times New Roman" w:eastAsia="Times New Roman" w:hAnsi="Times New Roman" w:cs="Times New Roman"/>
          <w:color w:val="000000"/>
        </w:rPr>
        <w:t>дований;</w:t>
      </w:r>
    </w:p>
    <w:p w:rsidR="00861AC7" w:rsidRDefault="00282E08" w:rsidP="00282E08">
      <w:pPr>
        <w:pStyle w:val="af8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формирования нового уровня подготовки профессиональных кадров и укрепление отечественных и международных научных и деловых контактов.</w:t>
      </w:r>
    </w:p>
    <w:p w:rsidR="00861AC7" w:rsidRDefault="00861A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:rsidR="00861AC7" w:rsidRDefault="00282E08">
      <w:pPr>
        <w:spacing w:after="0" w:line="23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Результативность участия в Конференции:</w:t>
      </w:r>
      <w:r>
        <w:rPr>
          <w:rFonts w:ascii="Times New Roman" w:eastAsia="Times New Roman" w:hAnsi="Times New Roman" w:cs="Times New Roman"/>
        </w:rPr>
        <w:t xml:space="preserve"> продвижение научной работы, обмен опытом, повышение индекса </w:t>
      </w:r>
      <w:proofErr w:type="gramStart"/>
      <w:r>
        <w:rPr>
          <w:rFonts w:ascii="Times New Roman" w:eastAsia="Times New Roman" w:hAnsi="Times New Roman" w:cs="Times New Roman"/>
        </w:rPr>
        <w:t>цитируемости</w:t>
      </w:r>
      <w:proofErr w:type="gramEnd"/>
      <w:r>
        <w:rPr>
          <w:rFonts w:ascii="Times New Roman" w:eastAsia="Times New Roman" w:hAnsi="Times New Roman" w:cs="Times New Roman"/>
        </w:rPr>
        <w:t xml:space="preserve"> за счёт публикации представленного на конференцию доклада в базе РИНЦ, а также публикации статьей, рекомендованных научным комитетом, в журналах, индексируемых ВАК «Экология урбанизи</w:t>
      </w:r>
      <w:r>
        <w:rPr>
          <w:rFonts w:ascii="Times New Roman" w:eastAsia="Times New Roman" w:hAnsi="Times New Roman" w:cs="Times New Roman"/>
        </w:rPr>
        <w:t>рованных территорий» и «Биосферная совместимость: человек, регион, технологии. Мы будем рады рассмотреть Ваши оригинальные, не опубликованные ранее работы по тематике конференции.</w:t>
      </w:r>
    </w:p>
    <w:p w:rsidR="00861AC7" w:rsidRDefault="00861AC7">
      <w:pPr>
        <w:spacing w:after="0"/>
        <w:rPr>
          <w:rFonts w:ascii="Times New Roman" w:eastAsia="Times New Roman" w:hAnsi="Times New Roman" w:cs="Times New Roman"/>
          <w:b/>
        </w:rPr>
      </w:pPr>
    </w:p>
    <w:p w:rsidR="00861AC7" w:rsidRDefault="00282E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Рабочий язык Конференции: </w:t>
      </w:r>
      <w:r>
        <w:rPr>
          <w:rFonts w:ascii="Times New Roman" w:eastAsia="Times New Roman" w:hAnsi="Times New Roman" w:cs="Times New Roman"/>
        </w:rPr>
        <w:t xml:space="preserve">русский, английский. </w:t>
      </w:r>
    </w:p>
    <w:p w:rsidR="00861AC7" w:rsidRDefault="00282E0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Форма участия:</w:t>
      </w:r>
      <w:r>
        <w:rPr>
          <w:rFonts w:ascii="Times New Roman" w:eastAsia="Times New Roman" w:hAnsi="Times New Roman" w:cs="Times New Roman"/>
        </w:rPr>
        <w:t xml:space="preserve"> очная, он-</w:t>
      </w:r>
      <w:proofErr w:type="spellStart"/>
      <w:r>
        <w:rPr>
          <w:rFonts w:ascii="Times New Roman" w:eastAsia="Times New Roman" w:hAnsi="Times New Roman" w:cs="Times New Roman"/>
        </w:rPr>
        <w:t>ла</w:t>
      </w:r>
      <w:r>
        <w:rPr>
          <w:rFonts w:ascii="Times New Roman" w:eastAsia="Times New Roman" w:hAnsi="Times New Roman" w:cs="Times New Roman"/>
        </w:rPr>
        <w:t>йн</w:t>
      </w:r>
      <w:proofErr w:type="spellEnd"/>
      <w:r>
        <w:rPr>
          <w:rFonts w:ascii="Times New Roman" w:eastAsia="Times New Roman" w:hAnsi="Times New Roman" w:cs="Times New Roman"/>
        </w:rPr>
        <w:t xml:space="preserve"> формат, заочная (по согласованию с организаторами)</w:t>
      </w:r>
    </w:p>
    <w:p w:rsidR="00861AC7" w:rsidRDefault="00282E0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Направления Конференции:</w:t>
      </w:r>
    </w:p>
    <w:p w:rsidR="00861AC7" w:rsidRDefault="00282E08" w:rsidP="00282E08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Инновационные подходы к территориальному развитию поселений</w:t>
      </w:r>
    </w:p>
    <w:p w:rsidR="00861AC7" w:rsidRDefault="00282E08" w:rsidP="00282E08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Транспортное планирование</w:t>
      </w:r>
    </w:p>
    <w:p w:rsidR="00861AC7" w:rsidRDefault="00282E08" w:rsidP="00282E08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Проектирование автомобильных дорог</w:t>
      </w:r>
    </w:p>
    <w:p w:rsidR="00861AC7" w:rsidRDefault="00282E08" w:rsidP="00282E08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Геоурбанистика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61AC7" w:rsidRDefault="00282E08" w:rsidP="00282E08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Устойчивое развитие территорий: поиск ба</w:t>
      </w:r>
      <w:r>
        <w:rPr>
          <w:rFonts w:ascii="Times New Roman" w:eastAsia="Times New Roman" w:hAnsi="Times New Roman" w:cs="Times New Roman"/>
          <w:color w:val="000000"/>
        </w:rPr>
        <w:t xml:space="preserve">лансов при развитии среды жизнедеятельности </w:t>
      </w:r>
    </w:p>
    <w:p w:rsidR="00861AC7" w:rsidRDefault="00282E08" w:rsidP="00282E08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Устойчивое развитие дизайна архитектурной среды </w:t>
      </w:r>
    </w:p>
    <w:p w:rsidR="00861AC7" w:rsidRDefault="00282E08" w:rsidP="00282E08">
      <w:pPr>
        <w:numPr>
          <w:ilvl w:val="0"/>
          <w:numId w:val="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Устойчивая Архитектура</w:t>
      </w:r>
    </w:p>
    <w:p w:rsidR="00861AC7" w:rsidRDefault="00282E08">
      <w:pPr>
        <w:spacing w:before="120" w:after="120" w:line="23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Ключевые даты:</w:t>
      </w:r>
    </w:p>
    <w:p w:rsidR="00861AC7" w:rsidRDefault="00282E0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 7 мая 2024 г. – приём докладов и регистрационных форм (Приложение А) на почту </w:t>
      </w:r>
      <w:r>
        <w:rPr>
          <w:rFonts w:ascii="Times New Roman" w:eastAsia="Times New Roman" w:hAnsi="Times New Roman" w:cs="Times New Roman"/>
          <w:color w:val="1F497D" w:themeColor="text2"/>
        </w:rPr>
        <w:t>grado_urt@mail.ru</w:t>
      </w:r>
    </w:p>
    <w:p w:rsidR="00861AC7" w:rsidRDefault="00282E0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 13 мая 2024 г.– подтве</w:t>
      </w:r>
      <w:r>
        <w:rPr>
          <w:rFonts w:ascii="Times New Roman" w:eastAsia="Times New Roman" w:hAnsi="Times New Roman" w:cs="Times New Roman"/>
        </w:rPr>
        <w:t>рждение участия и рецензирование докладов</w:t>
      </w:r>
    </w:p>
    <w:p w:rsidR="00861AC7" w:rsidRDefault="00282E0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15-17 мая 2024 г. – конференция</w:t>
      </w:r>
    </w:p>
    <w:p w:rsidR="00861AC7" w:rsidRDefault="00282E0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 01 сентября 2024 – издание сборника трудов (РИНЦ)</w:t>
      </w:r>
    </w:p>
    <w:p w:rsidR="00861AC7" w:rsidRDefault="00861AC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861AC7" w:rsidRDefault="00282E08">
      <w:pPr>
        <w:spacing w:before="120" w:after="120" w:line="23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Регистрация участников конференции:</w:t>
      </w:r>
    </w:p>
    <w:p w:rsidR="00861AC7" w:rsidRDefault="00282E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Для участия в конференции авторы в установленные сроки подают </w:t>
      </w:r>
      <w:r>
        <w:rPr>
          <w:rFonts w:ascii="Times New Roman" w:eastAsia="Times New Roman" w:hAnsi="Times New Roman" w:cs="Times New Roman"/>
          <w:b/>
        </w:rPr>
        <w:t>заявку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на участие </w:t>
      </w:r>
      <w:r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 xml:space="preserve">конференции (Приложение А) </w:t>
      </w:r>
      <w:r>
        <w:rPr>
          <w:rFonts w:ascii="Times New Roman" w:eastAsia="Times New Roman" w:hAnsi="Times New Roman" w:cs="Times New Roman"/>
          <w:b/>
        </w:rPr>
        <w:t>с текстом статьи</w:t>
      </w:r>
      <w:r>
        <w:rPr>
          <w:rFonts w:ascii="Times New Roman" w:eastAsia="Times New Roman" w:hAnsi="Times New Roman" w:cs="Times New Roman"/>
        </w:rPr>
        <w:t xml:space="preserve"> для сборника трудов, оформленным в соответствии с требованиями (приложения</w:t>
      </w:r>
      <w:proofErr w:type="gramStart"/>
      <w:r>
        <w:rPr>
          <w:rFonts w:ascii="Times New Roman" w:eastAsia="Times New Roman" w:hAnsi="Times New Roman" w:cs="Times New Roman"/>
        </w:rPr>
        <w:t xml:space="preserve"> Б</w:t>
      </w:r>
      <w:proofErr w:type="gramEnd"/>
      <w:r>
        <w:rPr>
          <w:rFonts w:ascii="Times New Roman" w:eastAsia="Times New Roman" w:hAnsi="Times New Roman" w:cs="Times New Roman"/>
        </w:rPr>
        <w:t xml:space="preserve"> или В).</w:t>
      </w:r>
    </w:p>
    <w:p w:rsidR="00861AC7" w:rsidRDefault="00861A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1AC7" w:rsidRDefault="00282E0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Обращаем внимание</w:t>
      </w:r>
      <w:r>
        <w:rPr>
          <w:rFonts w:ascii="Times New Roman" w:eastAsia="Times New Roman" w:hAnsi="Times New Roman" w:cs="Times New Roman"/>
        </w:rPr>
        <w:t xml:space="preserve">, в публикации статьи </w:t>
      </w:r>
      <w:r>
        <w:rPr>
          <w:rFonts w:ascii="Times New Roman" w:eastAsia="Times New Roman" w:hAnsi="Times New Roman" w:cs="Times New Roman"/>
          <w:b/>
          <w:bCs/>
        </w:rPr>
        <w:t>будет отказано</w:t>
      </w:r>
      <w:r>
        <w:rPr>
          <w:rFonts w:ascii="Times New Roman" w:eastAsia="Times New Roman" w:hAnsi="Times New Roman" w:cs="Times New Roman"/>
        </w:rPr>
        <w:t>, если не соблюдены требования оформления!</w:t>
      </w:r>
    </w:p>
    <w:p w:rsidR="00861AC7" w:rsidRDefault="00861AC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1AC7" w:rsidRDefault="00282E08">
      <w:pPr>
        <w:spacing w:before="120" w:after="120" w:line="23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Регистрационный взнос: </w:t>
      </w:r>
    </w:p>
    <w:p w:rsidR="00861AC7" w:rsidRDefault="00282E08">
      <w:pPr>
        <w:spacing w:before="120" w:after="120" w:line="23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Публи</w:t>
      </w:r>
      <w:r>
        <w:rPr>
          <w:rFonts w:ascii="Times New Roman" w:eastAsia="Times New Roman" w:hAnsi="Times New Roman" w:cs="Times New Roman"/>
          <w:u w:val="single"/>
        </w:rPr>
        <w:t xml:space="preserve">кации статьи 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u w:val="single"/>
        </w:rPr>
        <w:t>РИНЦ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</w:rPr>
        <w:t xml:space="preserve">не </w:t>
      </w:r>
      <w:proofErr w:type="gramStart"/>
      <w:r>
        <w:rPr>
          <w:rFonts w:ascii="Times New Roman" w:eastAsia="Times New Roman" w:hAnsi="Times New Roman" w:cs="Times New Roman"/>
          <w:b/>
          <w:bCs/>
          <w:color w:val="E36C0A" w:themeColor="accent6" w:themeShade="BF"/>
        </w:rPr>
        <w:t>предусмотрен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861AC7" w:rsidRDefault="00282E08">
      <w:pPr>
        <w:spacing w:before="120" w:after="120" w:line="23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Публикация статьи 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u w:val="single"/>
        </w:rPr>
        <w:t>ВАК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(стоимость публикации статьи 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</w:rPr>
        <w:t>уточняется в зависимости от журнала</w:t>
      </w:r>
      <w:r>
        <w:rPr>
          <w:rFonts w:ascii="Times New Roman" w:eastAsia="Times New Roman" w:hAnsi="Times New Roman" w:cs="Times New Roman"/>
        </w:rPr>
        <w:t>).</w:t>
      </w:r>
    </w:p>
    <w:p w:rsidR="00861AC7" w:rsidRDefault="00282E08">
      <w:pPr>
        <w:spacing w:before="120" w:after="120" w:line="23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Публикация статьи 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u w:val="single"/>
          <w:lang w:val="en-US"/>
        </w:rPr>
        <w:t>Scopus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E36C0A" w:themeColor="accent6" w:themeShade="BF"/>
        </w:rPr>
        <w:t>25 000 руб</w:t>
      </w:r>
      <w:r>
        <w:rPr>
          <w:rFonts w:ascii="Times New Roman" w:eastAsia="Times New Roman" w:hAnsi="Times New Roman" w:cs="Times New Roman"/>
        </w:rPr>
        <w:t>., заключение договора с каждым авторским коллективом.</w:t>
      </w:r>
    </w:p>
    <w:p w:rsidR="00861AC7" w:rsidRDefault="00282E08">
      <w:pPr>
        <w:spacing w:before="120" w:after="120" w:line="230" w:lineRule="auto"/>
        <w:jc w:val="both"/>
        <w:rPr>
          <w:rFonts w:ascii="Times New Roman" w:eastAsia="Times New Roman" w:hAnsi="Times New Roman" w:cs="Times New Roman"/>
          <w:color w:val="1F497D" w:themeColor="text2"/>
        </w:rPr>
      </w:pPr>
      <w:r>
        <w:rPr>
          <w:rFonts w:ascii="Times New Roman" w:eastAsia="Times New Roman" w:hAnsi="Times New Roman" w:cs="Times New Roman"/>
          <w:b/>
        </w:rPr>
        <w:t xml:space="preserve">Контакт для связи: </w:t>
      </w:r>
      <w:r>
        <w:rPr>
          <w:rFonts w:ascii="Times New Roman" w:eastAsia="Times New Roman" w:hAnsi="Times New Roman" w:cs="Times New Roman"/>
          <w:color w:val="1F497D" w:themeColor="text2"/>
        </w:rPr>
        <w:t>grado_urt@mail.ru</w:t>
      </w:r>
    </w:p>
    <w:p w:rsidR="00861AC7" w:rsidRDefault="00282E08" w:rsidP="0053036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 w:clear="all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</w:p>
    <w:p w:rsidR="00861AC7" w:rsidRDefault="00861AC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AC7" w:rsidRDefault="00282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>ФОРМА РЕГИСТРАЦИИ</w:t>
      </w:r>
    </w:p>
    <w:p w:rsidR="00861AC7" w:rsidRDefault="00282E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международной научно-практической конференции</w:t>
      </w:r>
    </w:p>
    <w:p w:rsidR="00861AC7" w:rsidRDefault="00282E0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Устойчивое развитие территорий</w:t>
      </w:r>
      <w:r>
        <w:rPr>
          <w:rFonts w:ascii="Times New Roman" w:hAnsi="Times New Roman" w:cs="Times New Roman"/>
          <w:bCs/>
          <w:sz w:val="24"/>
          <w:szCs w:val="24"/>
        </w:rPr>
        <w:t xml:space="preserve">», </w:t>
      </w:r>
    </w:p>
    <w:p w:rsidR="00861AC7" w:rsidRDefault="00282E0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 – 17 мая 2024 года</w:t>
      </w:r>
    </w:p>
    <w:p w:rsidR="00861AC7" w:rsidRDefault="00282E0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Российская Федерация, г. Москва, НИУ МГСУ</w:t>
      </w:r>
    </w:p>
    <w:p w:rsidR="00861AC7" w:rsidRDefault="00861A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9"/>
        <w:gridCol w:w="4668"/>
      </w:tblGrid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282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Название доклада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</w:p>
        </w:tc>
      </w:tr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28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Название секции/тематическое направление</w:t>
            </w: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 xml:space="preserve"> (одно направление на одну статью):</w:t>
            </w:r>
          </w:p>
          <w:p w:rsidR="00861AC7" w:rsidRDefault="00282E08" w:rsidP="00282E08">
            <w:pPr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Инновационные подходы к территориальному развитию поселений</w:t>
            </w:r>
          </w:p>
          <w:p w:rsidR="00861AC7" w:rsidRDefault="00282E08" w:rsidP="00282E08">
            <w:pPr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Транспортное планирование</w:t>
            </w:r>
          </w:p>
          <w:p w:rsidR="00861AC7" w:rsidRDefault="00282E08" w:rsidP="00282E08">
            <w:pPr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Проектирование автомобильных дорог</w:t>
            </w:r>
          </w:p>
          <w:p w:rsidR="00861AC7" w:rsidRDefault="00282E08" w:rsidP="00282E08">
            <w:pPr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Геоурбанистика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861AC7" w:rsidRDefault="00282E08" w:rsidP="00282E08">
            <w:pPr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Устойчивое развитие территорий: поиск балансов при развитии среды жизнедеятельности </w:t>
            </w:r>
          </w:p>
          <w:p w:rsidR="00861AC7" w:rsidRDefault="00282E08" w:rsidP="00282E08">
            <w:pPr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Устойчивое развитие дизайна архитектурной среды </w:t>
            </w:r>
          </w:p>
          <w:p w:rsidR="00861AC7" w:rsidRDefault="00282E08" w:rsidP="00282E08">
            <w:pPr>
              <w:numPr>
                <w:ilvl w:val="0"/>
                <w:numId w:val="10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12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Устойчивая Архитектура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</w:p>
        </w:tc>
      </w:tr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282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Фамилия Имя Отчество участника (полностью)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</w:p>
        </w:tc>
      </w:tr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28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Ученая степень, ученое звание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</w:p>
        </w:tc>
      </w:tr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282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Место работы (учебы)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tabs>
                <w:tab w:val="left" w:pos="1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</w:p>
        </w:tc>
      </w:tr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282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Должность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</w:p>
        </w:tc>
      </w:tr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282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 xml:space="preserve">Служебный адрес (улица, дом, город, область, почтовый индекс, страна)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</w:p>
        </w:tc>
      </w:tr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282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Контактный телефон (с кодом страны, города, или кода мобильного оператора)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</w:p>
        </w:tc>
      </w:tr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282E0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mail</w:t>
            </w:r>
            <w:proofErr w:type="spellEnd"/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  <w14:ligatures w14:val="standardContextual"/>
              </w:rPr>
            </w:pPr>
          </w:p>
        </w:tc>
      </w:tr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28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 xml:space="preserve">Фамилия Имя Отчество (полностью), ученая степень, ученое звание соавторов 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</w:p>
        </w:tc>
      </w:tr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28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Тип доклада: устный/пленарный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</w:p>
        </w:tc>
      </w:tr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28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>Форма участия: дистанционная или очная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</w:p>
        </w:tc>
      </w:tr>
      <w:tr w:rsidR="00861AC7"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282E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  <w:t xml:space="preserve">Тип научной публикации: РИНЦ, ВАК,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AC7" w:rsidRDefault="00861A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14:ligatures w14:val="standardContextual"/>
              </w:rPr>
            </w:pPr>
          </w:p>
        </w:tc>
      </w:tr>
    </w:tbl>
    <w:p w:rsidR="00861AC7" w:rsidRDefault="00282E0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 w:clear="all"/>
      </w:r>
    </w:p>
    <w:bookmarkEnd w:id="0"/>
    <w:p w:rsidR="00861AC7" w:rsidRDefault="00282E0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</w:p>
    <w:p w:rsidR="00861AC7" w:rsidRDefault="00861AC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AC7" w:rsidRDefault="00282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ТРЕБОВАНИЯ К ОФОРМЛЕНИЮ СТАТЕЙ ДЛЯ СБОРНИКА ТРУДОВ 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>(РИНЦ)</w:t>
      </w:r>
    </w:p>
    <w:p w:rsidR="00861AC7" w:rsidRDefault="00282E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Общие требования к статье</w:t>
      </w:r>
    </w:p>
    <w:p w:rsidR="00861AC7" w:rsidRDefault="00282E08" w:rsidP="00282E08">
      <w:pPr>
        <w:pStyle w:val="af8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 набирается в текстовом редакторе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(расширение *.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*.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C7" w:rsidRDefault="00282E08" w:rsidP="00282E08">
      <w:pPr>
        <w:pStyle w:val="af8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Формат бумаги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61AC7" w:rsidRDefault="00282E08" w:rsidP="00282E08">
      <w:pPr>
        <w:pStyle w:val="af8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сверху, снизу, слева, справа – 2 см; </w:t>
      </w:r>
    </w:p>
    <w:p w:rsidR="00861AC7" w:rsidRDefault="00282E08" w:rsidP="00282E08">
      <w:pPr>
        <w:pStyle w:val="af8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Объем статей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3…6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полных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страниц,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включая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сведения об авторах, аннотацию, библиографический список и т.д.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C7" w:rsidRDefault="00282E08" w:rsidP="00282E08">
      <w:pPr>
        <w:pStyle w:val="af8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Переносы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 автоматически. НЕ допускаются переносы в заголовках, подрисуночных надписях и заголовках таблиц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61AC7" w:rsidRDefault="00282E08" w:rsidP="00282E08">
      <w:pPr>
        <w:pStyle w:val="af8"/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Оригинальность авторского текста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не менее 80%.</w:t>
      </w:r>
    </w:p>
    <w:p w:rsidR="00861AC7" w:rsidRDefault="00861A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861AC7" w:rsidRDefault="00282E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Структура текста статьи</w:t>
      </w:r>
    </w:p>
    <w:p w:rsidR="00861AC7" w:rsidRDefault="00282E08" w:rsidP="00282E08">
      <w:pPr>
        <w:pStyle w:val="af8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Код УДК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Шрифти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выравнивание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левому краю, красная строка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отсутствует,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 между абзацами «Перед» – нет, «После» – «Авто»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61AC7" w:rsidRDefault="00282E08" w:rsidP="00282E08">
      <w:pPr>
        <w:pStyle w:val="af8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Название статьи.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регистр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верхний,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выравнивание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центру, начертание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полужирый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межстрочный интервал – одинарный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красная строка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отсутствует,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 между абзацами «Перед» – нет, «После» – «Авто»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861AC7" w:rsidRDefault="00282E08" w:rsidP="00282E08">
      <w:pPr>
        <w:pStyle w:val="af8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об авторах.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регистр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предложениях, начертание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курсив,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выравнивание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центру,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межстрочный интервал – одинарный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красна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строка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отсутствует,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 между абзацами «Перед» – нет, «После» –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861AC7" w:rsidRDefault="00282E08" w:rsidP="00282E08">
      <w:pPr>
        <w:pStyle w:val="af8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И.А. Фамилия (начертание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полужирый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861AC7" w:rsidRDefault="00282E08" w:rsidP="00282E08">
      <w:pPr>
        <w:pStyle w:val="af8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Должность, степень, ученое звание (если есть)</w:t>
      </w:r>
    </w:p>
    <w:p w:rsidR="00861AC7" w:rsidRDefault="00282E08" w:rsidP="00282E08">
      <w:pPr>
        <w:pStyle w:val="af8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работы, город, страна</w:t>
      </w:r>
    </w:p>
    <w:p w:rsidR="00861AC7" w:rsidRDefault="00282E08" w:rsidP="00282E08">
      <w:pPr>
        <w:pStyle w:val="af8"/>
        <w:numPr>
          <w:ilvl w:val="1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Почта</w:t>
      </w:r>
    </w:p>
    <w:p w:rsidR="00861AC7" w:rsidRDefault="00282E08" w:rsidP="00282E08">
      <w:pPr>
        <w:pStyle w:val="af8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Аннотация, ключевые слова.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предложениях,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выравнивание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ширине,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межстрочный интервал – одинарный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красная строка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1,00 см,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 между абзацами «Перед» – нет, «После» – «Авто»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861AC7" w:rsidRDefault="00282E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аннотации до 200 слов.</w:t>
      </w:r>
    </w:p>
    <w:p w:rsidR="00861AC7" w:rsidRDefault="00282E08" w:rsidP="00282E08">
      <w:pPr>
        <w:pStyle w:val="af8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Основная часть.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регис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предложениях,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выравнивание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ширине,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межстрочный интервал – одинарный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красная строка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1,00 см,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 между абзацами «Перед» – нет, «После» – «Авто»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861AC7" w:rsidRDefault="00282E08" w:rsidP="00282E08">
      <w:pPr>
        <w:pStyle w:val="af8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Требования к рисункам: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рисунки должны быть хорошо читаемыми. Рисунки, набранные средствами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обязательно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сгруппировать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Рекомендуемое разрешение рисунков 72…150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dpi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Графические объекты 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должны выходить за пределы полей страницы и превышать одну страницу. Каждый рису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нок должен быть помещен в текст и сопровождаться нумерованной подрисуночной подписью (заголовком). Номер объекта и заголовок размещаются под объектом. Номер оформляется как «Рисунок 1. Название», шрифт 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курсив, размер – 14, положение текс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на странице по центру. Ссылки на рисунки в тексте обязательны.</w:t>
      </w:r>
    </w:p>
    <w:p w:rsidR="00861AC7" w:rsidRDefault="00282E08" w:rsidP="00282E08">
      <w:pPr>
        <w:pStyle w:val="af8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Требования к таблицам: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 таблицы и заголовок размещаются над таблицей. Номер оформляется как «Таблица 1», шрифт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курсив, размер – 14, положение текста на странице по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авому краю,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 между абзацами «Перед» – нет, «После» –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Заголовок размещается на следующей строке, шрифт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размер – 14, положение текста на странице по центру. Данные таблицы должны соответствовать цифрам в тексте, однако не долж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дублировать представленную в нем информацию.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допускается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добавление таблиц в виде картинок и снимков экрана.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Ссылки на таблицы в тексте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обязательны, например, (Табл. 1)</w:t>
      </w:r>
    </w:p>
    <w:p w:rsidR="00861AC7" w:rsidRDefault="00282E08" w:rsidP="00282E08">
      <w:pPr>
        <w:pStyle w:val="af8"/>
        <w:numPr>
          <w:ilvl w:val="0"/>
          <w:numId w:val="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 xml:space="preserve">Требования к формулам: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формулы должны быть набраны в редакторе формул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Microsoft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quation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3.0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Math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Type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нумерация проставляется с правой стороны в скобках. </w:t>
      </w:r>
    </w:p>
    <w:p w:rsidR="00861AC7" w:rsidRDefault="00861A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861AC7" w:rsidRDefault="00282E08" w:rsidP="00282E08">
      <w:pPr>
        <w:pStyle w:val="af8"/>
        <w:numPr>
          <w:ilvl w:val="0"/>
          <w:numId w:val="8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иблиографический список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Шрифт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Times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New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pt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регистр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 предложениях,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выравнивание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ширине,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межстрочный интервал – одинарный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красная строка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1,00 см,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интервал между абзацами «Перед» – нет, «После» – «Авто»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End"/>
    </w:p>
    <w:p w:rsidR="00861AC7" w:rsidRDefault="00282E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умерация ссылок на литературу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сквозная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, по мере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появления ссылок в тексте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Номер ссылки заключается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>квадратные скобки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 Список литературы следует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u w:val="single"/>
        </w:rPr>
        <w:t xml:space="preserve"> оформлять по ГОСТ 7.1 – 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.</w:t>
      </w:r>
    </w:p>
    <w:p w:rsidR="00861AC7" w:rsidRDefault="00861AC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ind w:left="709"/>
        <w:jc w:val="both"/>
        <w:rPr>
          <w:highlight w:val="white"/>
        </w:rPr>
      </w:pPr>
    </w:p>
    <w:p w:rsidR="00861AC7" w:rsidRPr="0053036B" w:rsidRDefault="00282E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Пример (шаблон) оформления статьи: </w:t>
      </w:r>
      <w:hyperlink r:id="rId15" w:history="1">
        <w:r w:rsidR="0053036B" w:rsidRPr="00F03B1C">
          <w:rPr>
            <w:rStyle w:val="afb"/>
            <w:rFonts w:ascii="Times New Roman" w:eastAsia="Times New Roman" w:hAnsi="Times New Roman" w:cs="Times New Roman"/>
            <w:sz w:val="24"/>
            <w:szCs w:val="24"/>
          </w:rPr>
          <w:t>https://disk.yandex.ru/i/KLLCJB4N4WMqqQ</w:t>
        </w:r>
      </w:hyperlink>
    </w:p>
    <w:p w:rsidR="0053036B" w:rsidRPr="0053036B" w:rsidRDefault="005303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AC7" w:rsidRDefault="00282E0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312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 w:type="page" w:clear="all"/>
      </w:r>
    </w:p>
    <w:p w:rsidR="00861AC7" w:rsidRDefault="00282E08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</w:p>
    <w:p w:rsidR="00861AC7" w:rsidRDefault="00861AC7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61AC7" w:rsidRDefault="00282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ОБЩИЕ ТРЕБОВАНИЯ К ОФОРМЛЕНИЮ СТАТЕЙ ДЛЯ ЖУРНАЛА</w:t>
      </w:r>
    </w:p>
    <w:p w:rsidR="00861AC7" w:rsidRDefault="00282E0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E36C0A" w:themeColor="accent6" w:themeShade="BF"/>
          <w:sz w:val="24"/>
          <w:szCs w:val="24"/>
        </w:rPr>
        <w:t xml:space="preserve">(SCOPUS) </w:t>
      </w:r>
    </w:p>
    <w:p w:rsidR="00861AC7" w:rsidRDefault="00282E08" w:rsidP="00282E08">
      <w:pPr>
        <w:pStyle w:val="af8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Максимальное количество авторов одной статьи – не более пяти;</w:t>
      </w:r>
    </w:p>
    <w:p w:rsidR="00861AC7" w:rsidRDefault="00282E08" w:rsidP="00282E08">
      <w:pPr>
        <w:pStyle w:val="af8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Каждый участник может представить максимум две статьи;</w:t>
      </w:r>
    </w:p>
    <w:p w:rsidR="00861AC7" w:rsidRDefault="00282E08" w:rsidP="00282E08">
      <w:pPr>
        <w:pStyle w:val="af8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Полный объем статьи: от 12 000 до 30 000 символов (включая список литературы);</w:t>
      </w:r>
    </w:p>
    <w:p w:rsidR="00861AC7" w:rsidRDefault="00282E08" w:rsidP="00282E08">
      <w:pPr>
        <w:pStyle w:val="af8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 рассмотрению принимаются рукописи научных статей, написанные как на английском, так и на русском языке;</w:t>
      </w:r>
    </w:p>
    <w:p w:rsidR="00861AC7" w:rsidRDefault="00282E08" w:rsidP="00282E08">
      <w:pPr>
        <w:pStyle w:val="af8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Формат статьи: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сключительно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61AC7" w:rsidRDefault="00282E08" w:rsidP="00282E08">
      <w:pPr>
        <w:pStyle w:val="af8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Представляемый текст рукописи должен строго соответствовать проблематике Конференции и отражать результаты теоретических и экспериментальных исследований. К рассмотрению принимаются только оригинальные рукописи научных статей;</w:t>
      </w:r>
    </w:p>
    <w:p w:rsidR="00861AC7" w:rsidRDefault="00282E08" w:rsidP="00282E08">
      <w:pPr>
        <w:pStyle w:val="af8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афические изображения должны быть переведены на английский язык (если рукопись представляется на английском языке) или представлены в редактируемом формате (если рукопись представляется на русском языке);</w:t>
      </w:r>
    </w:p>
    <w:p w:rsidR="00861AC7" w:rsidRDefault="00282E08" w:rsidP="00282E08">
      <w:pPr>
        <w:pStyle w:val="af8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Статья обязательно должна иметь следующие разделы: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«Введение», «Методология», «Результаты», «Дискуссия», «Заключение», «Список литературы». Информация о финансовой поддержке указывается в разделе «Благодарности» после «Заключения»;</w:t>
      </w:r>
    </w:p>
    <w:p w:rsidR="00861AC7" w:rsidRDefault="00282E08" w:rsidP="00282E08">
      <w:pPr>
        <w:pStyle w:val="af8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Если в исследовании использовались оригинальные статистические данные, то 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вторам необходимо предоставить репликационные данные (анкеты (опросники), протоколы исследования, собранные и необработанные статистические данные в любом виде), которые будут опубликованы вместе со статьей. Данный шаг является важным элементом предотвраще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ния фальсификации данных и дает дополнительную возможность проверить сделанный авторами анализ; </w:t>
      </w:r>
    </w:p>
    <w:p w:rsidR="00861AC7" w:rsidRDefault="00282E08" w:rsidP="00282E08">
      <w:pPr>
        <w:pStyle w:val="af8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Внутритекстовые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ссылки на литературу и сам список литературы оформляются исключительно по стандарту APA. Настоятельно рекомендуем авторам использовать качестве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нную зарубежную научную литературу, опубликованную в надежных научных журналах (индексируемых в базах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Scopus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Science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»). Настоятельно просим минимизировать использование «непредставительных» источников –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интернет-ресурсов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, не содержащих научную 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нформацию, учебников и учебных пособий. В списке источников должно быть не более 10% источников, автором/соавтором которых является сам автор поданной на рассмотрение статьи. </w:t>
      </w:r>
    </w:p>
    <w:p w:rsidR="00861AC7" w:rsidRDefault="00861AC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1AC7" w:rsidRDefault="00282E0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Оригинальность и плагиат:</w:t>
      </w:r>
    </w:p>
    <w:p w:rsidR="00861AC7" w:rsidRDefault="00282E0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Авторы должны убедиться, что они написали полностью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оригинальные работы, и если авторы использовали работу и/или слова других лиц, то это было соответствующим образом процитировано или процитировано. Все поступившие рукописи проверяются на наличие текстовых заимствований с использованием программы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Антиплаг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иат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» (полная проверка). Оригинальность текста должна быть не менее 80%. Не допускается направление на рассмотрение уже опубликованных статей или тех статей, которые отправлены на публикацию в другие издания и находятся на рассмотрении. Оргкомитет оставляет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собой право отказать в публикации рукописи на любой стадии, если обнаружится факт плагиата или повторной публикации уже принятого текста рукописи научной статьи в других научных изданиях. В таком случае оплаченный организационный взнос не возвращается.</w:t>
      </w:r>
    </w:p>
    <w:p w:rsidR="00861AC7" w:rsidRPr="0053036B" w:rsidRDefault="00282E08">
      <w:pPr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 (шаблон) оформления статьи: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6" w:history="1">
        <w:r w:rsidR="0053036B" w:rsidRPr="00F03B1C">
          <w:rPr>
            <w:rStyle w:val="afb"/>
            <w:rFonts w:ascii="Times New Roman" w:eastAsia="Times New Roman" w:hAnsi="Times New Roman" w:cs="Times New Roman"/>
            <w:sz w:val="24"/>
            <w:szCs w:val="24"/>
          </w:rPr>
          <w:t>https://disk.yandex.ru/i/pnkE8oMs2z3kzQ</w:t>
        </w:r>
      </w:hyperlink>
    </w:p>
    <w:p w:rsidR="0053036B" w:rsidRPr="0053036B" w:rsidRDefault="0053036B">
      <w:pPr>
        <w:spacing w:after="0" w:line="23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53036B" w:rsidRPr="0053036B">
      <w:pgSz w:w="11906" w:h="16838"/>
      <w:pgMar w:top="709" w:right="850" w:bottom="1134" w:left="1701" w:header="708" w:footer="7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E08" w:rsidRDefault="00282E08">
      <w:pPr>
        <w:spacing w:after="0" w:line="240" w:lineRule="auto"/>
      </w:pPr>
      <w:r>
        <w:separator/>
      </w:r>
    </w:p>
  </w:endnote>
  <w:endnote w:type="continuationSeparator" w:id="0">
    <w:p w:rsidR="00282E08" w:rsidRDefault="0028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E08" w:rsidRDefault="00282E08">
      <w:pPr>
        <w:spacing w:after="0" w:line="240" w:lineRule="auto"/>
      </w:pPr>
      <w:r>
        <w:separator/>
      </w:r>
    </w:p>
  </w:footnote>
  <w:footnote w:type="continuationSeparator" w:id="0">
    <w:p w:rsidR="00282E08" w:rsidRDefault="00282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1AC"/>
    <w:multiLevelType w:val="hybridMultilevel"/>
    <w:tmpl w:val="1C788E54"/>
    <w:lvl w:ilvl="0" w:tplc="9A9AB19C">
      <w:start w:val="1"/>
      <w:numFmt w:val="decimal"/>
      <w:lvlText w:val="%1."/>
      <w:lvlJc w:val="left"/>
      <w:pPr>
        <w:ind w:left="720" w:hanging="360"/>
      </w:pPr>
    </w:lvl>
    <w:lvl w:ilvl="1" w:tplc="5F56008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F5CE6948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730C031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B92E8F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FC5E595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6BAD8D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3CC23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AAE6DF4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96C2C18"/>
    <w:multiLevelType w:val="hybridMultilevel"/>
    <w:tmpl w:val="7A544868"/>
    <w:lvl w:ilvl="0" w:tplc="22AA40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EB0414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D1043FC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F676C37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3A5C3E4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AF002F8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39A39C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F6A4B8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D8C5D8E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E94FB9"/>
    <w:multiLevelType w:val="hybridMultilevel"/>
    <w:tmpl w:val="84506852"/>
    <w:lvl w:ilvl="0" w:tplc="7EB8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143D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32A7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0C7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9802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1A54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8F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1835F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B65D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65C2E"/>
    <w:multiLevelType w:val="hybridMultilevel"/>
    <w:tmpl w:val="1B808578"/>
    <w:lvl w:ilvl="0" w:tplc="F69AF8A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F9549E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CEE2E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AC8467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58A8F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55268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FF463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25016F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536007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31B827C3"/>
    <w:multiLevelType w:val="hybridMultilevel"/>
    <w:tmpl w:val="1BA01EA0"/>
    <w:lvl w:ilvl="0" w:tplc="3B00F29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</w:rPr>
    </w:lvl>
    <w:lvl w:ilvl="1" w:tplc="DF74188C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 w:hint="default"/>
      </w:rPr>
    </w:lvl>
    <w:lvl w:ilvl="2" w:tplc="28C68BB0">
      <w:start w:val="1"/>
      <w:numFmt w:val="bullet"/>
      <w:lvlText w:val="§"/>
      <w:lvlJc w:val="left"/>
      <w:pPr>
        <w:ind w:left="2880" w:hanging="360"/>
      </w:pPr>
      <w:rPr>
        <w:rFonts w:ascii="Wingdings" w:eastAsia="Wingdings" w:hAnsi="Wingdings" w:cs="Wingdings" w:hint="default"/>
      </w:rPr>
    </w:lvl>
    <w:lvl w:ilvl="3" w:tplc="5C12A55A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 w:hint="default"/>
      </w:rPr>
    </w:lvl>
    <w:lvl w:ilvl="4" w:tplc="E0FE0E38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 w:hint="default"/>
      </w:rPr>
    </w:lvl>
    <w:lvl w:ilvl="5" w:tplc="B4B4CA22">
      <w:start w:val="1"/>
      <w:numFmt w:val="bullet"/>
      <w:lvlText w:val="§"/>
      <w:lvlJc w:val="left"/>
      <w:pPr>
        <w:ind w:left="5040" w:hanging="360"/>
      </w:pPr>
      <w:rPr>
        <w:rFonts w:ascii="Wingdings" w:eastAsia="Wingdings" w:hAnsi="Wingdings" w:cs="Wingdings" w:hint="default"/>
      </w:rPr>
    </w:lvl>
    <w:lvl w:ilvl="6" w:tplc="FA9245E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 w:hint="default"/>
      </w:rPr>
    </w:lvl>
    <w:lvl w:ilvl="7" w:tplc="58BEF612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 w:hint="default"/>
      </w:rPr>
    </w:lvl>
    <w:lvl w:ilvl="8" w:tplc="CF48B812">
      <w:start w:val="1"/>
      <w:numFmt w:val="bullet"/>
      <w:lvlText w:val="§"/>
      <w:lvlJc w:val="left"/>
      <w:pPr>
        <w:ind w:left="7200" w:hanging="360"/>
      </w:pPr>
      <w:rPr>
        <w:rFonts w:ascii="Wingdings" w:eastAsia="Wingdings" w:hAnsi="Wingdings" w:cs="Wingdings" w:hint="default"/>
      </w:rPr>
    </w:lvl>
  </w:abstractNum>
  <w:abstractNum w:abstractNumId="5">
    <w:nsid w:val="3517647B"/>
    <w:multiLevelType w:val="hybridMultilevel"/>
    <w:tmpl w:val="295AA490"/>
    <w:lvl w:ilvl="0" w:tplc="A768C8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6BA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95C4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346B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3A9E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8C27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44D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6F2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202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4756F"/>
    <w:multiLevelType w:val="hybridMultilevel"/>
    <w:tmpl w:val="0546B464"/>
    <w:lvl w:ilvl="0" w:tplc="F7BA1B9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6D28201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424BA1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C40B99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0CAE4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E1431E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60BA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BF4CD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A8215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409D763F"/>
    <w:multiLevelType w:val="hybridMultilevel"/>
    <w:tmpl w:val="448032E0"/>
    <w:lvl w:ilvl="0" w:tplc="0A4E9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7213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1568B1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05A5CF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7D1AEE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DBE772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1EEDC0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49BAB1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A165C6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5C568CF"/>
    <w:multiLevelType w:val="hybridMultilevel"/>
    <w:tmpl w:val="1CE62AB2"/>
    <w:lvl w:ilvl="0" w:tplc="572247D6">
      <w:start w:val="1"/>
      <w:numFmt w:val="decimal"/>
      <w:lvlText w:val="%1."/>
      <w:lvlJc w:val="left"/>
      <w:pPr>
        <w:ind w:left="709" w:hanging="360"/>
      </w:pPr>
    </w:lvl>
    <w:lvl w:ilvl="1" w:tplc="68FACF1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 w:hint="default"/>
      </w:rPr>
    </w:lvl>
    <w:lvl w:ilvl="2" w:tplc="505E8E0A">
      <w:start w:val="1"/>
      <w:numFmt w:val="lowerRoman"/>
      <w:lvlText w:val="%3."/>
      <w:lvlJc w:val="right"/>
      <w:pPr>
        <w:ind w:left="2149" w:hanging="180"/>
      </w:pPr>
    </w:lvl>
    <w:lvl w:ilvl="3" w:tplc="C25CC092">
      <w:start w:val="1"/>
      <w:numFmt w:val="decimal"/>
      <w:lvlText w:val="%4."/>
      <w:lvlJc w:val="left"/>
      <w:pPr>
        <w:ind w:left="2869" w:hanging="360"/>
      </w:pPr>
    </w:lvl>
    <w:lvl w:ilvl="4" w:tplc="1A660FB8">
      <w:start w:val="1"/>
      <w:numFmt w:val="lowerLetter"/>
      <w:lvlText w:val="%5."/>
      <w:lvlJc w:val="left"/>
      <w:pPr>
        <w:ind w:left="3589" w:hanging="360"/>
      </w:pPr>
    </w:lvl>
    <w:lvl w:ilvl="5" w:tplc="85547368">
      <w:start w:val="1"/>
      <w:numFmt w:val="lowerRoman"/>
      <w:lvlText w:val="%6."/>
      <w:lvlJc w:val="right"/>
      <w:pPr>
        <w:ind w:left="4309" w:hanging="180"/>
      </w:pPr>
    </w:lvl>
    <w:lvl w:ilvl="6" w:tplc="F560F94C">
      <w:start w:val="1"/>
      <w:numFmt w:val="decimal"/>
      <w:lvlText w:val="%7."/>
      <w:lvlJc w:val="left"/>
      <w:pPr>
        <w:ind w:left="5029" w:hanging="360"/>
      </w:pPr>
    </w:lvl>
    <w:lvl w:ilvl="7" w:tplc="7F86B728">
      <w:start w:val="1"/>
      <w:numFmt w:val="lowerLetter"/>
      <w:lvlText w:val="%8."/>
      <w:lvlJc w:val="left"/>
      <w:pPr>
        <w:ind w:left="5749" w:hanging="360"/>
      </w:pPr>
    </w:lvl>
    <w:lvl w:ilvl="8" w:tplc="F014CE16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657B5E85"/>
    <w:multiLevelType w:val="hybridMultilevel"/>
    <w:tmpl w:val="B46623CE"/>
    <w:lvl w:ilvl="0" w:tplc="DEB8D4E6">
      <w:start w:val="1"/>
      <w:numFmt w:val="decimal"/>
      <w:lvlText w:val="%1."/>
      <w:lvlJc w:val="left"/>
      <w:pPr>
        <w:ind w:left="720" w:hanging="360"/>
      </w:pPr>
    </w:lvl>
    <w:lvl w:ilvl="1" w:tplc="1D2EC6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2FC6BE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2894FDD8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00A291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72E025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381CE4F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302BB6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A8CAD9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8"/>
  </w:num>
  <w:num w:numId="9">
    <w:abstractNumId w:val="4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AC7"/>
    <w:rsid w:val="00282E08"/>
    <w:rsid w:val="0053036B"/>
    <w:rsid w:val="008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b">
    <w:name w:val="Hyperlink"/>
    <w:basedOn w:val="a0"/>
    <w:uiPriority w:val="99"/>
    <w:unhideWhenUsed/>
    <w:rPr>
      <w:color w:val="0000FF"/>
      <w:u w:val="single"/>
    </w:rPr>
  </w:style>
  <w:style w:type="paragraph" w:customStyle="1" w:styleId="12">
    <w:name w:val="Абзац списка1"/>
    <w:basedOn w:val="a"/>
    <w:pPr>
      <w:ind w:left="720"/>
    </w:pPr>
    <w:rPr>
      <w:rFonts w:eastAsia="Times New Roman" w:cs="Times New Roman"/>
      <w:color w:val="00000A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A6BFDD" w:themeColor="accen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000000"/>
          <w:left w:val="single" w:sz="4" w:space="0" w:color="A6BFDD" w:themeColor="accen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ABB59" w:themeColor="accent3" w:themeTint="FE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000000"/>
          <w:left w:val="single" w:sz="4" w:space="0" w:color="9ABB59" w:themeColor="accent3" w:themeTint="FE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9D0DE" w:themeColor="accent5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000000"/>
          <w:left w:val="single" w:sz="4" w:space="0" w:color="99D0DE" w:themeColor="accent5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396" w:themeColor="accent6" w:themeTint="9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000000"/>
          <w:left w:val="single" w:sz="4" w:space="0" w:color="FAC396" w:themeColor="accent6" w:themeTint="9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7F7F7F" w:themeColor="text1" w:themeTint="80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000000"/>
          <w:left w:val="single" w:sz="4" w:space="0" w:color="7F7F7F" w:themeColor="text1" w:themeTint="80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4F81BD" w:themeColor="accent1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000000"/>
          <w:left w:val="single" w:sz="4" w:space="0" w:color="4F81BD" w:themeColor="accent1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D99695" w:themeColor="accent2" w:themeTint="97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000000"/>
          <w:left w:val="single" w:sz="4" w:space="0" w:color="D99695" w:themeColor="accent2" w:themeTint="97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C3D69B" w:themeColor="accent3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000000"/>
          <w:left w:val="single" w:sz="4" w:space="0" w:color="C3D69B" w:themeColor="accent3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B2A1C6" w:themeColor="accent4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000000"/>
          <w:left w:val="single" w:sz="4" w:space="0" w:color="B2A1C6" w:themeColor="accent4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92CCDC" w:themeColor="accent5" w:themeTint="9A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000000"/>
          <w:left w:val="single" w:sz="4" w:space="0" w:color="92CCDC" w:themeColor="accent5" w:themeTint="9A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single" w:sz="4" w:space="0" w:color="FAC090" w:themeColor="accent6" w:themeTint="98"/>
          <w:right w:val="none" w:sz="0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000000"/>
          <w:bottom w:val="none" w:sz="0" w:space="0" w:color="000000"/>
          <w:right w:val="none" w:sz="0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none" w:sz="0" w:space="0" w:color="000000"/>
          <w:bottom w:val="none" w:sz="0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000000"/>
          <w:left w:val="single" w:sz="4" w:space="0" w:color="FAC090" w:themeColor="accent6" w:themeTint="98"/>
          <w:bottom w:val="none" w:sz="0" w:space="0" w:color="000000"/>
          <w:right w:val="none" w:sz="0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Strong"/>
    <w:basedOn w:val="a0"/>
    <w:uiPriority w:val="22"/>
    <w:qFormat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b">
    <w:name w:val="Hyperlink"/>
    <w:basedOn w:val="a0"/>
    <w:uiPriority w:val="99"/>
    <w:unhideWhenUsed/>
    <w:rPr>
      <w:color w:val="0000FF"/>
      <w:u w:val="single"/>
    </w:rPr>
  </w:style>
  <w:style w:type="paragraph" w:customStyle="1" w:styleId="12">
    <w:name w:val="Абзац списка1"/>
    <w:basedOn w:val="a"/>
    <w:pPr>
      <w:ind w:left="720"/>
    </w:pPr>
    <w:rPr>
      <w:rFonts w:eastAsia="Times New Roman" w:cs="Times New Roman"/>
      <w:color w:val="00000A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disk.yandex.ru/i/pnkE8oMs2z3kz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disk.yandex.ru/i/KLLCJB4N4WMqqQ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4Svo58/QqZJfqeGiUkKxa2dxsQ==">AMUW2mXiHMQ7wUNaZoMoHcny8UTSXiHyWx2GoPvLykcgv05VaCf03doSnoQKOWEx+0nIwFWOllYpxL/QZcXlL5xwZ/BSHzcYuu5xDDM3iXF0otfdGL27Mb4=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1763</Words>
  <Characters>10053</Characters>
  <Application>Microsoft Office Word</Application>
  <DocSecurity>0</DocSecurity>
  <Lines>83</Lines>
  <Paragraphs>23</Paragraphs>
  <ScaleCrop>false</ScaleCrop>
  <Company/>
  <LinksUpToDate>false</LinksUpToDate>
  <CharactersWithSpaces>11793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expo-1</cp:lastModifiedBy>
  <cp:revision>22</cp:revision>
  <dcterms:created xsi:type="dcterms:W3CDTF">2022-04-06T09:19:00Z</dcterms:created>
  <dcterms:modified xsi:type="dcterms:W3CDTF">2024-04-03T15:00:00Z</dcterms:modified>
</cp:coreProperties>
</file>