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725F47" w:rsidRPr="00725F47">
        <w:rPr>
          <w:rFonts w:eastAsia="Times New Roman"/>
          <w:b/>
          <w:bCs/>
          <w:szCs w:val="24"/>
          <w:lang w:eastAsia="ru-RU"/>
        </w:rPr>
        <w:t>Автоматизированные технологии управления проектами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725F47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725F47" w:rsidRPr="00C62760" w:rsidRDefault="00725F47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47" w:rsidRPr="00C62760" w:rsidRDefault="00725F47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725F47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F47" w:rsidRPr="00C62760" w:rsidRDefault="00725F47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725F47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725F47" w:rsidRPr="00C62760" w:rsidRDefault="00725F47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725F47" w:rsidRPr="00C62760" w:rsidRDefault="00725F47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725F47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725F47" w:rsidRPr="00C62760" w:rsidRDefault="00725F47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725F47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725F47" w:rsidRPr="00C62760" w:rsidRDefault="00725F47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F47" w:rsidRPr="00C62760" w:rsidRDefault="00725F47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proofErr w:type="gram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proofErr w:type="gram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725F47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F47" w:rsidRPr="00C62760" w:rsidRDefault="00725F47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>Фонд оценочных сре</w:t>
      </w:r>
      <w:proofErr w:type="gramStart"/>
      <w:r w:rsidR="00A61774" w:rsidRPr="00A32CEF">
        <w:rPr>
          <w:bCs/>
          <w:szCs w:val="24"/>
        </w:rPr>
        <w:t>дств дл</w:t>
      </w:r>
      <w:proofErr w:type="gramEnd"/>
      <w:r w:rsidR="00A61774" w:rsidRPr="00A32CEF">
        <w:rPr>
          <w:bCs/>
          <w:szCs w:val="24"/>
        </w:rPr>
        <w:t xml:space="preserve">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725F47" w:rsidRPr="00725F47">
        <w:rPr>
          <w:bCs/>
          <w:szCs w:val="24"/>
        </w:rPr>
        <w:t>Автоматизированные технологии управления проектами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725F47" w:rsidRPr="00725F47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725F47" w:rsidRPr="00A32CEF" w:rsidTr="003241EB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725F47" w:rsidRPr="0013059C" w:rsidRDefault="00725F47" w:rsidP="00B763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Основные понятия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Методы и технологии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Организационные структуры управления проектами. Команда проекта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Инвестирование и бизнес-планирование проектов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Системная модель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Методические основы создания автоматизированных систем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Информационное обеспечение автоматизированных систем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Технологическое обеспечение автоматизированных систем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Технические средства управления проектами</w:t>
            </w:r>
          </w:p>
        </w:tc>
      </w:tr>
      <w:tr w:rsidR="00725F47" w:rsidRPr="00A32CEF" w:rsidTr="0093337D">
        <w:tc>
          <w:tcPr>
            <w:tcW w:w="675" w:type="dxa"/>
          </w:tcPr>
          <w:p w:rsidR="00725F47" w:rsidRPr="00A32CEF" w:rsidRDefault="00725F47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725F47" w:rsidRPr="0013059C" w:rsidRDefault="00725F47" w:rsidP="00B7634C">
            <w:pPr>
              <w:contextualSpacing/>
              <w:rPr>
                <w:sz w:val="20"/>
                <w:szCs w:val="20"/>
              </w:rPr>
            </w:pPr>
            <w:r w:rsidRPr="0013059C">
              <w:rPr>
                <w:sz w:val="20"/>
                <w:szCs w:val="20"/>
              </w:rPr>
              <w:t>Управление рисками и последовательностями проектов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</w:t>
      </w:r>
      <w:proofErr w:type="gramStart"/>
      <w:r w:rsidRPr="00752476">
        <w:rPr>
          <w:rFonts w:eastAsia="Times New Roman"/>
          <w:b/>
          <w:bCs/>
          <w:szCs w:val="24"/>
          <w:lang w:eastAsia="ru-RU"/>
        </w:rPr>
        <w:t>обучения по дисциплине</w:t>
      </w:r>
      <w:proofErr w:type="gramEnd"/>
      <w:r w:rsidRPr="00752476">
        <w:rPr>
          <w:rFonts w:eastAsia="Times New Roman"/>
          <w:b/>
          <w:bCs/>
          <w:szCs w:val="24"/>
          <w:lang w:eastAsia="ru-RU"/>
        </w:rPr>
        <w:t xml:space="preserve">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Планируемые результаты </w:t>
      </w:r>
      <w:proofErr w:type="gramStart"/>
      <w:r w:rsidRPr="00A32CEF">
        <w:rPr>
          <w:rFonts w:eastAsia="Times New Roman"/>
          <w:szCs w:val="24"/>
          <w:lang w:eastAsia="ru-RU"/>
        </w:rPr>
        <w:t>обучения по дисциплине</w:t>
      </w:r>
      <w:proofErr w:type="gramEnd"/>
      <w:r w:rsidRPr="00A32CEF">
        <w:rPr>
          <w:rFonts w:eastAsia="Times New Roman"/>
          <w:szCs w:val="24"/>
          <w:lang w:eastAsia="ru-RU"/>
        </w:rPr>
        <w:t xml:space="preserve">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725F47" w:rsidRPr="00725F47" w:rsidTr="00B7634C">
        <w:trPr>
          <w:tblHeader/>
          <w:jc w:val="center"/>
        </w:trPr>
        <w:tc>
          <w:tcPr>
            <w:tcW w:w="1246" w:type="pct"/>
            <w:vAlign w:val="center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 w:val="restar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t>Стремится к саморазвитию, повышению своей квалификации и мастерства</w:t>
            </w:r>
          </w:p>
        </w:tc>
        <w:tc>
          <w:tcPr>
            <w:tcW w:w="657" w:type="pct"/>
            <w:vMerge w:val="restart"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ОК-6</w:t>
            </w: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25F47">
              <w:rPr>
                <w:rFonts w:eastAsia="Times New Roman"/>
                <w:sz w:val="20"/>
                <w:szCs w:val="20"/>
              </w:rPr>
              <w:t>теоретические основы автоматизированных систем; основы организации и планирования строительного производства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725F47" w:rsidRPr="00725F47" w:rsidTr="00B7634C">
        <w:trPr>
          <w:trHeight w:val="305"/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25F47">
              <w:rPr>
                <w:rFonts w:eastAsia="Times New Roman"/>
                <w:sz w:val="20"/>
                <w:szCs w:val="20"/>
              </w:rPr>
              <w:t>применять математические и экономические модели менеджмента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725F47" w:rsidRPr="00725F47" w:rsidTr="00B7634C">
        <w:trPr>
          <w:trHeight w:val="305"/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моделирования бизнес-процессов в строительстве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1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 w:val="restar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t>Имеет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понятие автоматизированных информационных систем; характеристики информационных систем, виды информационных систем, назначение информационных систем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принимать решения по выбору проекта, отвечающего заданным критериям эффективности; идентифицировать проекты, определять цели и граничные условия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 xml:space="preserve">работы с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компьютерными технологиями обработки данных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2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 w:val="restar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725F47">
              <w:rPr>
                <w:rFonts w:eastAsia="Times New Roman"/>
                <w:szCs w:val="24"/>
                <w:lang w:eastAsia="ru-RU"/>
              </w:rPr>
              <w:t>Способен</w:t>
            </w:r>
            <w:proofErr w:type="gramEnd"/>
            <w:r w:rsidRPr="00725F47">
              <w:rPr>
                <w:rFonts w:eastAsia="Times New Roman"/>
                <w:szCs w:val="24"/>
                <w:lang w:eastAsia="ru-RU"/>
              </w:rPr>
              <w:t xml:space="preserve">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структуру АИС, процессы и стадии жизненного цикла АИС; принципы и этапы проектирования информационных систем; требования к основным ресурсам для реализации проекта информационной системы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предлагать наиболее подходящую для конкретных условий организационную структуру проекта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владения</w:t>
            </w: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технологией управления инновационными, инвестиционными и др.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проектами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в том числе с использованием средств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автоматизации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Н3</w:t>
            </w:r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 w:val="restar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lastRenderedPageBreak/>
              <w:t>Освоил методики использования программных сре</w:t>
            </w:r>
            <w:proofErr w:type="gramStart"/>
            <w:r w:rsidRPr="00725F47">
              <w:rPr>
                <w:rFonts w:eastAsia="Times New Roman"/>
                <w:szCs w:val="24"/>
                <w:lang w:eastAsia="ru-RU"/>
              </w:rPr>
              <w:t>дств дл</w:t>
            </w:r>
            <w:proofErr w:type="gramEnd"/>
            <w:r w:rsidRPr="00725F47">
              <w:rPr>
                <w:rFonts w:eastAsia="Times New Roman"/>
                <w:szCs w:val="24"/>
                <w:lang w:eastAsia="ru-RU"/>
              </w:rPr>
              <w:t>я решения практических задач</w:t>
            </w:r>
          </w:p>
        </w:tc>
        <w:tc>
          <w:tcPr>
            <w:tcW w:w="657" w:type="pct"/>
            <w:vMerge w:val="restart"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информационные системы различной архитектуры; как проектируются различные информационные системы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З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работать</w:t>
            </w: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в программах, обеспечивающих автоматизацию управления проектами; анализировать информационные системы различной архитектуры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У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246" w:type="pct"/>
            <w:vMerge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725F47" w:rsidRPr="00725F47" w:rsidRDefault="00725F47" w:rsidP="00725F47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725F47" w:rsidRPr="00725F47" w:rsidRDefault="00725F47" w:rsidP="00725F47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распознавать различные виды информационных систем; выбора необходимых аппаратных и программных средств, подходящих для конкретных потребностей информационной системы</w:t>
            </w:r>
          </w:p>
        </w:tc>
        <w:tc>
          <w:tcPr>
            <w:tcW w:w="658" w:type="pct"/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szCs w:val="24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2"/>
                <w:szCs w:val="24"/>
                <w:lang w:eastAsia="ru-RU"/>
              </w:rPr>
              <w:t>4</w:t>
            </w:r>
            <w:proofErr w:type="gramEnd"/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</w:t>
      </w:r>
      <w:proofErr w:type="gramStart"/>
      <w:r w:rsidRPr="00A37F77">
        <w:rPr>
          <w:rFonts w:eastAsia="Times New Roman"/>
          <w:b/>
          <w:bCs/>
          <w:szCs w:val="24"/>
          <w:lang w:eastAsia="ru-RU"/>
        </w:rPr>
        <w:t>дств дл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>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EB52AA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3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6"/>
      </w:tblGrid>
      <w:tr w:rsidR="00A37F77" w:rsidRPr="00A37F77" w:rsidTr="0093337D">
        <w:trPr>
          <w:trHeight w:val="270"/>
        </w:trPr>
        <w:tc>
          <w:tcPr>
            <w:tcW w:w="766" w:type="pct"/>
            <w:vMerge w:val="restar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4" w:type="pct"/>
            <w:gridSpan w:val="14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37F77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A37F77" w:rsidRPr="00A37F77" w:rsidTr="0093337D">
        <w:trPr>
          <w:trHeight w:val="234"/>
        </w:trPr>
        <w:tc>
          <w:tcPr>
            <w:tcW w:w="766" w:type="pct"/>
            <w:vMerge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A37F77" w:rsidRPr="00A37F77" w:rsidTr="0093337D">
        <w:trPr>
          <w:trHeight w:val="234"/>
        </w:trPr>
        <w:tc>
          <w:tcPr>
            <w:tcW w:w="766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A37F77" w:rsidRPr="00A37F77" w:rsidRDefault="00A37F77" w:rsidP="00A37F77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EB52AA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EB52AA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725F47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725F47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725F47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725F47">
              <w:rPr>
                <w:rFonts w:eastAsia="Times New Roman"/>
                <w:sz w:val="22"/>
                <w:lang w:eastAsia="ru-RU"/>
              </w:rPr>
              <w:t xml:space="preserve">Домашняя работа </w:t>
            </w:r>
            <w:r w:rsidR="00A37F77"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</w:t>
            </w:r>
            <w:proofErr w:type="gramStart"/>
            <w:r w:rsidRPr="00A37F77">
              <w:rPr>
                <w:rFonts w:eastAsia="Times New Roman"/>
                <w:sz w:val="22"/>
                <w:lang w:eastAsia="ru-RU"/>
              </w:rPr>
              <w:t>т-</w:t>
            </w:r>
            <w:proofErr w:type="gramEnd"/>
            <w:r w:rsidRPr="00A37F77">
              <w:rPr>
                <w:rFonts w:eastAsia="Times New Roman"/>
                <w:sz w:val="22"/>
                <w:lang w:eastAsia="ru-RU"/>
              </w:rPr>
              <w:t>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725F47">
        <w:trPr>
          <w:jc w:val="center"/>
        </w:trPr>
        <w:tc>
          <w:tcPr>
            <w:tcW w:w="983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725F47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ОК-6</w:t>
            </w: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rPr>
                <w:sz w:val="22"/>
              </w:rPr>
              <w:t>З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rPr>
                <w:sz w:val="22"/>
              </w:rPr>
              <w:t>У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</w:pP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rPr>
                <w:sz w:val="22"/>
              </w:rPr>
              <w:t>Н</w:t>
            </w:r>
            <w:proofErr w:type="gramStart"/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</w:pPr>
            <w: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  <w:vMerge w:val="restart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ОК-12</w:t>
            </w: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  <w:vMerge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У</w:t>
            </w:r>
            <w:proofErr w:type="gramStart"/>
            <w:r>
              <w:t>2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  <w:vMerge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ОК-13</w:t>
            </w: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З3</w:t>
            </w:r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У3</w:t>
            </w:r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Н3</w:t>
            </w:r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З</w:t>
            </w:r>
            <w:proofErr w:type="gramStart"/>
            <w:r>
              <w:t>4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У</w:t>
            </w:r>
            <w:proofErr w:type="gramStart"/>
            <w:r>
              <w:t>4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jc w:val="center"/>
        </w:trPr>
        <w:tc>
          <w:tcPr>
            <w:tcW w:w="983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725F47" w:rsidRDefault="00725F47" w:rsidP="00725F47">
            <w:pPr>
              <w:ind w:firstLine="0"/>
              <w:contextualSpacing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Default="00725F47" w:rsidP="00725F47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</w:tcPr>
          <w:p w:rsidR="00725F47" w:rsidRDefault="00725F47" w:rsidP="00725F4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25F47" w:rsidRPr="00A37F77" w:rsidTr="00725F47">
        <w:trPr>
          <w:trHeight w:val="343"/>
          <w:jc w:val="center"/>
        </w:trPr>
        <w:tc>
          <w:tcPr>
            <w:tcW w:w="2327" w:type="dxa"/>
            <w:gridSpan w:val="2"/>
          </w:tcPr>
          <w:p w:rsidR="00725F47" w:rsidRPr="00A37F77" w:rsidRDefault="00725F47" w:rsidP="00725F47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725F47" w:rsidRPr="00A37F7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EB52AA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</w:t>
      </w:r>
      <w:proofErr w:type="gramStart"/>
      <w:r w:rsidRPr="00A37F77">
        <w:rPr>
          <w:rFonts w:eastAsia="Times New Roman"/>
          <w:bCs/>
          <w:i/>
          <w:szCs w:val="24"/>
          <w:lang w:eastAsia="ru-RU"/>
        </w:rPr>
        <w:t>аттестации</w:t>
      </w:r>
      <w:proofErr w:type="gramEnd"/>
      <w:r w:rsidRPr="00A37F77">
        <w:rPr>
          <w:rFonts w:eastAsia="Times New Roman"/>
          <w:bCs/>
          <w:i/>
          <w:szCs w:val="24"/>
          <w:lang w:eastAsia="ru-RU"/>
        </w:rPr>
        <w:t xml:space="preserve">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Style w:val="a3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25F47" w:rsidRPr="00725F47" w:rsidTr="00B7634C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Оценка</w:t>
            </w:r>
          </w:p>
        </w:tc>
      </w:tr>
      <w:tr w:rsidR="00725F47" w:rsidRPr="00725F47" w:rsidTr="00B7634C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«2»</w:t>
            </w:r>
          </w:p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(</w:t>
            </w:r>
            <w:proofErr w:type="spellStart"/>
            <w:r w:rsidRPr="00725F47">
              <w:rPr>
                <w:rFonts w:eastAsia="Times New Roman"/>
                <w:bCs/>
                <w:iCs/>
              </w:rPr>
              <w:t>неудовлетв</w:t>
            </w:r>
            <w:proofErr w:type="spellEnd"/>
            <w:r w:rsidRPr="00725F47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Продвинутый уровень освоения</w:t>
            </w:r>
          </w:p>
        </w:tc>
      </w:tr>
      <w:tr w:rsidR="00725F47" w:rsidRPr="00725F47" w:rsidTr="00B7634C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«3»</w:t>
            </w:r>
          </w:p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(</w:t>
            </w:r>
            <w:proofErr w:type="spellStart"/>
            <w:r w:rsidRPr="00725F47">
              <w:rPr>
                <w:rFonts w:eastAsia="Times New Roman"/>
                <w:bCs/>
                <w:iCs/>
              </w:rPr>
              <w:t>удовлетвор</w:t>
            </w:r>
            <w:proofErr w:type="spellEnd"/>
            <w:r w:rsidRPr="00725F47">
              <w:rPr>
                <w:rFonts w:eastAsia="Times New Roman"/>
                <w:bCs/>
                <w:iCs/>
              </w:rPr>
              <w:t>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«4»</w:t>
            </w:r>
          </w:p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«5»</w:t>
            </w:r>
          </w:p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 w:rsidRPr="00725F47">
              <w:rPr>
                <w:rFonts w:eastAsia="Times New Roman"/>
                <w:bCs/>
                <w:iCs/>
              </w:rPr>
              <w:t>(отлично)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теоретического материала, допускает существенные ошибки, не имеет представления о дисциплине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Теоретическое содержание курса освоено полностью, необходимые практические компетенции в основном сформированы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максимальному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; анализирует полученные результаты; проявляет самостоятельность при выполнении заданий.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навыков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моделирования бизнес-процессов в строительстве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выполнил большинство предусмотренных программой заданий, но в них имеются ошибки, при ответе на поставленный вопрос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выполнил все предусмотренные программой обучения учебные задания, качество их выполнения достаточно высокое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Имеет навыки моделирования бизнес-процессов в строительстве.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прочные навыки практической работы.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теоретического материала, допускает существенные ошибки, не имеет представления о дисциплине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материал, грамотно и по существу излагает его, не допуская существенных неточностей в ответе на вопрос. Теоретическое содержание курса освоено полностью, необходимые практические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компетенции в основном сформированы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максимальному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; анализирует полученные результаты; проявляет самостоятельность при выполнении заданий.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навыков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 xml:space="preserve">работы с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компьютерными технологиями обработки данных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имеет прочные знания и навыки работы с компьютерными технологиями обработки данных. Все задания выполнены качественно и в срок.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теоретического материала, допускает существенные ошибки, не имеет представления о дисциплине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Теоретическое содержание курса освоено полностью, необходимые практические компетенции в основном сформированы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максимальному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; анализирует полученные результаты; проявляет самостоятельность при выполнении заданий.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имеет навыков владения технологией управления инновационными, инвестиционными и др.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проектами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в том числе с использованием средств автоматизации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в полной </w:t>
            </w: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мере владеет навыками технологии управления инновационными, инвестиционными и др. проектами с использованием средств автоматизации; все поставленные задачи были решены качественно и в срок.</w:t>
            </w:r>
            <w:proofErr w:type="gramEnd"/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теоретического материала, допускает существенные ошибки, не имеет представления о дисциплине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вопрос. Теоретическое содержание курса освоено полностью, необходимые практические компетенции в основном сформированы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Теоретическое содержание курса освоено полностью, без пробелов; исчерпывающе, последовательно, четко и логически стройно излагает материал; свободно справляется с задачами, вопросами и другими видами применения знаний; использует в ответе дополнительный материал 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все предусмотренные программой задания выполнены, качество их выполнения оценено числом баллов, близким к </w:t>
            </w: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максимальному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; анализирует полученные результаты; проявляет самостоятельность при выполнении заданий.</w:t>
            </w:r>
          </w:p>
        </w:tc>
      </w:tr>
      <w:tr w:rsidR="00725F47" w:rsidRPr="00725F47" w:rsidTr="00B7634C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gramStart"/>
            <w:r w:rsidRPr="00725F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не имеет навыков </w:t>
            </w:r>
            <w:r w:rsidRPr="00725F47">
              <w:rPr>
                <w:rFonts w:eastAsia="Times New Roman"/>
                <w:sz w:val="20"/>
                <w:szCs w:val="20"/>
                <w:lang w:eastAsia="ru-RU"/>
              </w:rPr>
              <w:t>распознавать различные виды информационных систем; выбора необходимых аппаратных и программных средств, подходящих для конкретных потребностей информационной системы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испытывает затруднения в применении теоретических положений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25F47" w:rsidRPr="00725F47" w:rsidRDefault="00725F47" w:rsidP="00725F47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proofErr w:type="gramStart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>Обучающийся</w:t>
            </w:r>
            <w:proofErr w:type="gramEnd"/>
            <w:r w:rsidRPr="00725F47">
              <w:rPr>
                <w:rFonts w:eastAsia="Times New Roman"/>
                <w:bCs/>
                <w:iCs/>
                <w:sz w:val="20"/>
                <w:szCs w:val="20"/>
              </w:rPr>
              <w:t xml:space="preserve"> умеет распознавать различные виды информационных систем; самостоятельно может принять решение об использовании аппаратных и программных средств, необходимых для решения поставленной задачи.  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EB52AA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EB52AA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725F47" w:rsidRPr="00725F47" w:rsidRDefault="00725F47" w:rsidP="00725F47">
      <w:pPr>
        <w:ind w:firstLine="708"/>
        <w:rPr>
          <w:rFonts w:eastAsia="Times New Roman"/>
          <w:bCs/>
          <w:iCs/>
          <w:szCs w:val="24"/>
        </w:rPr>
      </w:pPr>
      <w:r w:rsidRPr="00725F47">
        <w:rPr>
          <w:rFonts w:eastAsia="Times New Roman"/>
          <w:bCs/>
          <w:iCs/>
          <w:szCs w:val="24"/>
        </w:rPr>
        <w:t>Текущий контроль знаний студентов  представляет собой: проведение контрольных работ; проверку выполнения письменных домашних заданий.</w:t>
      </w:r>
    </w:p>
    <w:p w:rsidR="00725F47" w:rsidRPr="00725F47" w:rsidRDefault="00725F47" w:rsidP="00725F47">
      <w:pPr>
        <w:ind w:firstLine="708"/>
        <w:rPr>
          <w:rFonts w:eastAsia="Times New Roman"/>
          <w:bCs/>
          <w:iCs/>
          <w:color w:val="FF0000"/>
          <w:szCs w:val="24"/>
        </w:rPr>
      </w:pPr>
    </w:p>
    <w:p w:rsidR="00725F47" w:rsidRPr="00725F47" w:rsidRDefault="00725F47" w:rsidP="00725F47">
      <w:pPr>
        <w:ind w:firstLine="708"/>
        <w:jc w:val="center"/>
        <w:rPr>
          <w:rFonts w:eastAsia="Times New Roman"/>
          <w:bCs/>
          <w:i/>
          <w:iCs/>
          <w:color w:val="000000"/>
          <w:szCs w:val="24"/>
        </w:rPr>
      </w:pPr>
      <w:r w:rsidRPr="00725F47">
        <w:rPr>
          <w:rFonts w:eastAsia="Times New Roman"/>
          <w:bCs/>
          <w:i/>
          <w:iCs/>
          <w:color w:val="000000"/>
          <w:szCs w:val="24"/>
        </w:rPr>
        <w:t>Задание на контрольную работу.</w:t>
      </w:r>
    </w:p>
    <w:p w:rsidR="00725F47" w:rsidRPr="00725F47" w:rsidRDefault="00725F47" w:rsidP="00725F47">
      <w:pPr>
        <w:ind w:firstLine="708"/>
        <w:jc w:val="left"/>
        <w:rPr>
          <w:rFonts w:eastAsia="Times New Roman"/>
          <w:bCs/>
          <w:iCs/>
          <w:color w:val="000000"/>
          <w:szCs w:val="24"/>
        </w:rPr>
      </w:pPr>
      <w:r w:rsidRPr="00725F47">
        <w:rPr>
          <w:rFonts w:eastAsia="Times New Roman"/>
          <w:bCs/>
          <w:iCs/>
          <w:color w:val="000000"/>
          <w:szCs w:val="24"/>
        </w:rPr>
        <w:t>В свободной форме изложить материал по заданной теме, привести примеры и выполнить необходимые расчеты если того требует задание.</w:t>
      </w:r>
    </w:p>
    <w:p w:rsidR="00725F47" w:rsidRPr="00725F47" w:rsidRDefault="00725F47" w:rsidP="00725F47">
      <w:pPr>
        <w:ind w:firstLine="708"/>
        <w:jc w:val="left"/>
        <w:rPr>
          <w:rFonts w:eastAsia="Times New Roman"/>
          <w:bCs/>
          <w:iCs/>
          <w:color w:val="000000"/>
          <w:szCs w:val="24"/>
        </w:rPr>
      </w:pP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725F47">
        <w:rPr>
          <w:rFonts w:eastAsia="Times New Roman"/>
          <w:i/>
          <w:iCs/>
          <w:sz w:val="16"/>
          <w:szCs w:val="16"/>
          <w:lang w:eastAsia="ru-RU"/>
        </w:rPr>
        <w:t>Примеры тем контрольной работы</w:t>
      </w: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Разработка организационной структуры управления проектами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Бюджетирование проекта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Технико-экономическое обоснование инвестиций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Комплексный анализ проекта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Оценка проекта в </w:t>
      </w:r>
      <w:r w:rsidRPr="00725F47">
        <w:rPr>
          <w:rFonts w:eastAsia="Times New Roman"/>
          <w:szCs w:val="24"/>
          <w:lang w:val="en-US" w:eastAsia="ru-RU"/>
        </w:rPr>
        <w:t>Project Expert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Планирование в среде </w:t>
      </w:r>
      <w:r w:rsidRPr="00725F47">
        <w:rPr>
          <w:rFonts w:eastAsia="Times New Roman"/>
          <w:szCs w:val="24"/>
          <w:lang w:val="en-US" w:eastAsia="ru-RU"/>
        </w:rPr>
        <w:t>Primavera Project Planner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Автоматизация формирования отчетности в </w:t>
      </w:r>
      <w:proofErr w:type="spellStart"/>
      <w:r w:rsidRPr="00725F47">
        <w:rPr>
          <w:rFonts w:eastAsia="Times New Roman"/>
          <w:szCs w:val="24"/>
          <w:lang w:eastAsia="ru-RU"/>
        </w:rPr>
        <w:t>Primavera</w:t>
      </w:r>
      <w:proofErr w:type="spellEnd"/>
      <w:r w:rsidRPr="00725F47">
        <w:rPr>
          <w:rFonts w:eastAsia="Times New Roman"/>
          <w:szCs w:val="24"/>
          <w:lang w:eastAsia="ru-RU"/>
        </w:rPr>
        <w:t xml:space="preserve"> </w:t>
      </w:r>
      <w:proofErr w:type="spellStart"/>
      <w:r w:rsidRPr="00725F47">
        <w:rPr>
          <w:rFonts w:eastAsia="Times New Roman"/>
          <w:szCs w:val="24"/>
          <w:lang w:eastAsia="ru-RU"/>
        </w:rPr>
        <w:t>Primavision</w:t>
      </w:r>
      <w:proofErr w:type="spellEnd"/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Прогнозирование и определения рисков в проекте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Анализ рисков и методы его снижения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Проектный анализ: цель, содержание, структура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Использование диаграмм </w:t>
      </w:r>
      <w:r w:rsidRPr="00725F47">
        <w:rPr>
          <w:rFonts w:eastAsia="Times New Roman"/>
          <w:szCs w:val="24"/>
          <w:lang w:val="en-US" w:eastAsia="ru-RU"/>
        </w:rPr>
        <w:t>IDEF</w:t>
      </w:r>
      <w:r w:rsidRPr="00725F47">
        <w:rPr>
          <w:rFonts w:eastAsia="Times New Roman"/>
          <w:szCs w:val="24"/>
          <w:lang w:eastAsia="ru-RU"/>
        </w:rPr>
        <w:t xml:space="preserve"> для проектирования бизнес-процессов 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Разработка технического задания на создание ИС</w:t>
      </w:r>
    </w:p>
    <w:p w:rsidR="00725F47" w:rsidRPr="00725F47" w:rsidRDefault="00725F47" w:rsidP="00EB52AA">
      <w:pPr>
        <w:numPr>
          <w:ilvl w:val="0"/>
          <w:numId w:val="10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Разработка диаграммы потоков данных (</w:t>
      </w:r>
      <w:r w:rsidRPr="00725F47">
        <w:rPr>
          <w:rFonts w:eastAsia="Times New Roman"/>
          <w:szCs w:val="24"/>
          <w:lang w:val="en-US" w:eastAsia="ru-RU"/>
        </w:rPr>
        <w:t>DFD</w:t>
      </w:r>
      <w:r w:rsidRPr="00725F47">
        <w:rPr>
          <w:rFonts w:eastAsia="Times New Roman"/>
          <w:szCs w:val="24"/>
          <w:lang w:eastAsia="ru-RU"/>
        </w:rPr>
        <w:t>)</w:t>
      </w:r>
    </w:p>
    <w:p w:rsidR="00725F47" w:rsidRPr="00725F47" w:rsidRDefault="00725F47" w:rsidP="00725F47">
      <w:pPr>
        <w:ind w:firstLine="0"/>
        <w:rPr>
          <w:rFonts w:eastAsia="Times New Roman"/>
          <w:szCs w:val="24"/>
          <w:lang w:eastAsia="ru-RU"/>
        </w:rPr>
      </w:pPr>
    </w:p>
    <w:p w:rsidR="00725F47" w:rsidRPr="00725F47" w:rsidRDefault="00725F47" w:rsidP="00725F47">
      <w:pPr>
        <w:ind w:firstLine="708"/>
        <w:jc w:val="center"/>
        <w:rPr>
          <w:rFonts w:eastAsia="Times New Roman"/>
          <w:bCs/>
          <w:i/>
          <w:iCs/>
          <w:color w:val="000000"/>
          <w:szCs w:val="24"/>
        </w:rPr>
      </w:pPr>
      <w:r w:rsidRPr="00725F47">
        <w:rPr>
          <w:rFonts w:eastAsia="Times New Roman"/>
          <w:bCs/>
          <w:i/>
          <w:iCs/>
          <w:color w:val="000000"/>
          <w:szCs w:val="24"/>
        </w:rPr>
        <w:t>Задание на домашнюю работу</w:t>
      </w:r>
    </w:p>
    <w:p w:rsidR="00725F47" w:rsidRPr="00725F47" w:rsidRDefault="00725F47" w:rsidP="00725F47">
      <w:pPr>
        <w:ind w:firstLine="708"/>
        <w:jc w:val="center"/>
        <w:rPr>
          <w:rFonts w:eastAsia="Times New Roman"/>
          <w:bCs/>
          <w:i/>
          <w:iCs/>
          <w:color w:val="000000"/>
          <w:szCs w:val="24"/>
        </w:rPr>
      </w:pPr>
    </w:p>
    <w:p w:rsidR="00725F47" w:rsidRPr="00725F47" w:rsidRDefault="00725F47" w:rsidP="00725F47">
      <w:pPr>
        <w:ind w:firstLine="708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Для закрепления усвоения материала разделов 1-10 предусматривается выполнение домашней работы. Домашняя работа предполагает вариантное решение задач с использованием современных </w:t>
      </w:r>
      <w:proofErr w:type="gramStart"/>
      <w:r w:rsidRPr="00725F47">
        <w:rPr>
          <w:rFonts w:eastAsia="Times New Roman"/>
          <w:szCs w:val="24"/>
          <w:lang w:eastAsia="ru-RU"/>
        </w:rPr>
        <w:t>ИТ</w:t>
      </w:r>
      <w:proofErr w:type="gramEnd"/>
      <w:r w:rsidRPr="00725F47">
        <w:rPr>
          <w:rFonts w:eastAsia="Times New Roman"/>
          <w:szCs w:val="24"/>
          <w:lang w:eastAsia="ru-RU"/>
        </w:rPr>
        <w:t xml:space="preserve"> и системного подхода. Выдача и проверка домашней работы проводится в соответствии с графиком. Прием работ индивидуальный. Возможно использование компьютера.</w:t>
      </w:r>
    </w:p>
    <w:p w:rsidR="00725F47" w:rsidRPr="00725F47" w:rsidRDefault="00725F47" w:rsidP="00725F47">
      <w:pPr>
        <w:ind w:firstLine="708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Также домашняя работа предполагает подготовку материалов для совместного обсуждения по заданным темам. </w:t>
      </w:r>
    </w:p>
    <w:p w:rsidR="00725F47" w:rsidRPr="00725F47" w:rsidRDefault="00725F47" w:rsidP="00725F47">
      <w:pPr>
        <w:ind w:firstLine="0"/>
        <w:jc w:val="left"/>
        <w:rPr>
          <w:rFonts w:eastAsia="Times New Roman"/>
          <w:szCs w:val="24"/>
          <w:lang w:eastAsia="ru-RU"/>
        </w:rPr>
      </w:pP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725F47">
        <w:rPr>
          <w:rFonts w:eastAsia="Times New Roman"/>
          <w:i/>
          <w:iCs/>
          <w:sz w:val="16"/>
          <w:szCs w:val="16"/>
          <w:lang w:eastAsia="ru-RU"/>
        </w:rPr>
        <w:t>Примерный перечень тем домашней работы</w:t>
      </w: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20"/>
          <w:lang w:eastAsia="ru-RU"/>
        </w:rPr>
      </w:pP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Разработка проекта в среде </w:t>
      </w:r>
      <w:r w:rsidRPr="00725F47">
        <w:rPr>
          <w:rFonts w:eastAsia="Times New Roman"/>
          <w:szCs w:val="24"/>
          <w:lang w:val="en-US" w:eastAsia="ru-RU"/>
        </w:rPr>
        <w:t>MS</w:t>
      </w:r>
      <w:r w:rsidRPr="00725F47">
        <w:rPr>
          <w:rFonts w:eastAsia="Times New Roman"/>
          <w:szCs w:val="24"/>
          <w:lang w:eastAsia="ru-RU"/>
        </w:rPr>
        <w:t xml:space="preserve"> </w:t>
      </w:r>
      <w:r w:rsidRPr="00725F47">
        <w:rPr>
          <w:rFonts w:eastAsia="Times New Roman"/>
          <w:szCs w:val="24"/>
          <w:lang w:val="en-US" w:eastAsia="ru-RU"/>
        </w:rPr>
        <w:t>Project</w:t>
      </w:r>
      <w:r w:rsidRPr="00725F47">
        <w:rPr>
          <w:rFonts w:eastAsia="Times New Roman"/>
          <w:szCs w:val="24"/>
          <w:lang w:eastAsia="ru-RU"/>
        </w:rPr>
        <w:t xml:space="preserve"> </w:t>
      </w:r>
      <w:r w:rsidRPr="00725F47">
        <w:rPr>
          <w:rFonts w:eastAsia="Times New Roman"/>
          <w:szCs w:val="24"/>
          <w:lang w:val="en-US" w:eastAsia="ru-RU"/>
        </w:rPr>
        <w:t>Expert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АВС-анализ проекта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Моделирование бизнес-процесса по методологии </w:t>
      </w:r>
      <w:r w:rsidRPr="00725F47">
        <w:rPr>
          <w:rFonts w:eastAsia="Times New Roman"/>
          <w:szCs w:val="24"/>
          <w:lang w:val="en-US" w:eastAsia="ru-RU"/>
        </w:rPr>
        <w:t>IDEF</w:t>
      </w:r>
      <w:r w:rsidRPr="00725F47">
        <w:rPr>
          <w:rFonts w:eastAsia="Times New Roman"/>
          <w:szCs w:val="24"/>
          <w:lang w:eastAsia="ru-RU"/>
        </w:rPr>
        <w:t>0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Моделирование бизнес-процесса по методологии </w:t>
      </w:r>
      <w:r w:rsidRPr="00725F47">
        <w:rPr>
          <w:rFonts w:eastAsia="Times New Roman"/>
          <w:szCs w:val="24"/>
          <w:lang w:val="en-US" w:eastAsia="ru-RU"/>
        </w:rPr>
        <w:t>IDEF</w:t>
      </w:r>
      <w:r w:rsidRPr="00725F47">
        <w:rPr>
          <w:rFonts w:eastAsia="Times New Roman"/>
          <w:szCs w:val="24"/>
          <w:lang w:eastAsia="ru-RU"/>
        </w:rPr>
        <w:t>3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Разработка диаграммы потоков данных </w:t>
      </w:r>
      <w:r w:rsidRPr="00725F47">
        <w:rPr>
          <w:rFonts w:eastAsia="Times New Roman"/>
          <w:szCs w:val="24"/>
          <w:lang w:val="en-US" w:eastAsia="ru-RU"/>
        </w:rPr>
        <w:t>DFD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Разработка организационной структуры проектного офиса 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Разработка проекта в среде </w:t>
      </w:r>
      <w:r w:rsidRPr="00725F47">
        <w:rPr>
          <w:rFonts w:eastAsia="Times New Roman"/>
          <w:szCs w:val="24"/>
          <w:lang w:val="en-US" w:eastAsia="ru-RU"/>
        </w:rPr>
        <w:t>Primavera</w:t>
      </w:r>
    </w:p>
    <w:p w:rsidR="00725F47" w:rsidRPr="00725F47" w:rsidRDefault="00725F47" w:rsidP="00EB52AA">
      <w:pPr>
        <w:numPr>
          <w:ilvl w:val="0"/>
          <w:numId w:val="11"/>
        </w:numPr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Распределение ресурсов проекта в </w:t>
      </w:r>
      <w:r w:rsidRPr="00725F47">
        <w:rPr>
          <w:rFonts w:eastAsia="Times New Roman"/>
          <w:szCs w:val="24"/>
          <w:lang w:val="en-US" w:eastAsia="ru-RU"/>
        </w:rPr>
        <w:t>MS</w:t>
      </w:r>
      <w:r w:rsidRPr="00725F47">
        <w:rPr>
          <w:rFonts w:eastAsia="Times New Roman"/>
          <w:szCs w:val="24"/>
          <w:lang w:eastAsia="ru-RU"/>
        </w:rPr>
        <w:t xml:space="preserve"> </w:t>
      </w:r>
      <w:r w:rsidRPr="00725F47">
        <w:rPr>
          <w:rFonts w:eastAsia="Times New Roman"/>
          <w:szCs w:val="24"/>
          <w:lang w:val="en-US" w:eastAsia="ru-RU"/>
        </w:rPr>
        <w:t>Project</w:t>
      </w:r>
      <w:r w:rsidRPr="00725F47">
        <w:rPr>
          <w:rFonts w:eastAsia="Times New Roman"/>
          <w:szCs w:val="24"/>
          <w:lang w:eastAsia="ru-RU"/>
        </w:rPr>
        <w:t xml:space="preserve"> </w:t>
      </w:r>
      <w:r w:rsidRPr="00725F47">
        <w:rPr>
          <w:rFonts w:eastAsia="Times New Roman"/>
          <w:szCs w:val="24"/>
          <w:lang w:val="en-US" w:eastAsia="ru-RU"/>
        </w:rPr>
        <w:t>Expert</w:t>
      </w: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  <w:r w:rsidRPr="00725F47">
        <w:rPr>
          <w:rFonts w:eastAsia="Times New Roman"/>
          <w:i/>
          <w:iCs/>
          <w:sz w:val="16"/>
          <w:szCs w:val="16"/>
          <w:lang w:eastAsia="ru-RU"/>
        </w:rPr>
        <w:t>Примерный перечень тем для совместного обсуждения</w:t>
      </w:r>
    </w:p>
    <w:p w:rsidR="00725F47" w:rsidRPr="00725F47" w:rsidRDefault="00725F47" w:rsidP="00725F47">
      <w:pPr>
        <w:tabs>
          <w:tab w:val="left" w:pos="-181"/>
          <w:tab w:val="right" w:leader="underscore" w:pos="9639"/>
        </w:tabs>
        <w:ind w:firstLine="0"/>
        <w:jc w:val="center"/>
        <w:rPr>
          <w:rFonts w:eastAsia="Times New Roman"/>
          <w:i/>
          <w:iCs/>
          <w:sz w:val="16"/>
          <w:szCs w:val="16"/>
          <w:lang w:eastAsia="ru-RU"/>
        </w:rPr>
      </w:pP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Особенности управления инновационными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Особенности управления инвестиционными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Сетевые модели в управлении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затратами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Автоматизация разработки проектно-сметной документации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lastRenderedPageBreak/>
        <w:t>Финансирование проекта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Автоматизирование проектных работ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Материально-техническое обеспечение проекта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Планирование и контроль реализации проекта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Проектная команда и ее создание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Стандарты автоматизации управления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Применение программных средств в управлении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Основные функции проектного менеджмента и особенности их реализации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Международные инвестиционные фонды и банки, осуществляющие финансирование проектов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Назначение и структура бизнес-плана 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Проектирование автоматизированных информационных систем (АИС)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Организация создания АИС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Модели формирования управленческих решений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Матричная структура организации проекта, ее преимущества и недостатки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Проектная структура организации проекта, ее преимущества и недостатки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Проектный офис: типы, функции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Проблемы внедрения проектного управления в России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Причины неудач в управлении проектами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Роль пользователя в создании АИС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Современные формы документооборота</w:t>
      </w:r>
    </w:p>
    <w:p w:rsidR="00725F47" w:rsidRPr="00725F47" w:rsidRDefault="00725F47" w:rsidP="00EB52AA">
      <w:pPr>
        <w:numPr>
          <w:ilvl w:val="0"/>
          <w:numId w:val="12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Автоматизация обработки информации в проекте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EB52AA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725F47" w:rsidRDefault="00725F4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</w:p>
    <w:p w:rsidR="00725F47" w:rsidRPr="00725F47" w:rsidRDefault="00725F47" w:rsidP="00725F47">
      <w:pPr>
        <w:ind w:firstLine="708"/>
        <w:rPr>
          <w:rFonts w:eastAsia="Times New Roman"/>
          <w:bCs/>
          <w:iCs/>
          <w:szCs w:val="24"/>
        </w:rPr>
      </w:pPr>
      <w:r w:rsidRPr="00725F47">
        <w:rPr>
          <w:rFonts w:eastAsia="Times New Roman"/>
          <w:bCs/>
          <w:iCs/>
          <w:szCs w:val="24"/>
        </w:rPr>
        <w:t>Основные формы промежуточной аттестации – экзамен. При этом возможно проводить аттестацию по результатам текущего контроля (экзамен «автоматом»).</w:t>
      </w:r>
    </w:p>
    <w:p w:rsidR="00725F47" w:rsidRPr="00725F47" w:rsidRDefault="00725F47" w:rsidP="00725F47">
      <w:pPr>
        <w:ind w:firstLine="0"/>
        <w:rPr>
          <w:rFonts w:eastAsia="Times New Roman"/>
          <w:bCs/>
          <w:i/>
          <w:iCs/>
          <w:szCs w:val="24"/>
        </w:rPr>
      </w:pPr>
    </w:p>
    <w:p w:rsidR="00725F47" w:rsidRPr="00725F47" w:rsidRDefault="00725F47" w:rsidP="00725F47">
      <w:pPr>
        <w:ind w:firstLine="0"/>
        <w:jc w:val="center"/>
        <w:rPr>
          <w:rFonts w:eastAsia="Times New Roman"/>
          <w:i/>
          <w:color w:val="000000"/>
          <w:szCs w:val="24"/>
          <w:lang w:eastAsia="ru-RU"/>
        </w:rPr>
      </w:pPr>
      <w:r w:rsidRPr="00725F47">
        <w:rPr>
          <w:rFonts w:eastAsia="Times New Roman"/>
          <w:i/>
          <w:color w:val="000000"/>
          <w:szCs w:val="24"/>
          <w:lang w:eastAsia="ru-RU"/>
        </w:rPr>
        <w:t>Перечень вопросов к экзамену</w:t>
      </w:r>
    </w:p>
    <w:p w:rsidR="00725F47" w:rsidRPr="00725F47" w:rsidRDefault="00725F47" w:rsidP="00725F47">
      <w:pPr>
        <w:ind w:firstLine="0"/>
        <w:jc w:val="center"/>
        <w:rPr>
          <w:rFonts w:eastAsia="Times New Roman"/>
          <w:color w:val="000000"/>
          <w:szCs w:val="24"/>
          <w:lang w:eastAsia="ru-RU"/>
        </w:rPr>
      </w:pPr>
    </w:p>
    <w:p w:rsidR="00725F47" w:rsidRPr="00725F47" w:rsidRDefault="00725F47" w:rsidP="00EB52AA">
      <w:pPr>
        <w:numPr>
          <w:ilvl w:val="0"/>
          <w:numId w:val="13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Проекты, их классификация и признаки.</w:t>
      </w:r>
    </w:p>
    <w:p w:rsidR="00725F47" w:rsidRPr="00725F47" w:rsidRDefault="00725F47" w:rsidP="00EB52AA">
      <w:pPr>
        <w:numPr>
          <w:ilvl w:val="0"/>
          <w:numId w:val="13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 как объект управления. Понятие жизненного и фазы цикла проекта</w:t>
      </w:r>
    </w:p>
    <w:p w:rsidR="00725F47" w:rsidRPr="00725F47" w:rsidRDefault="00725F47" w:rsidP="00EB52AA">
      <w:pPr>
        <w:numPr>
          <w:ilvl w:val="0"/>
          <w:numId w:val="13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Алгоритм реализации наукоемкого проекта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Окружение и участники проекта.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Классификация и характеристика проектов. Функции управления проектами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Автоматизация управления проектами. Функции и объекты управления в УП.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Проектный анализ: сущность и разновидности.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Организационные структуры в управлении проектами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Команда проекта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Зависимость организационной структуры проекта (</w:t>
      </w:r>
      <w:r w:rsidRPr="00725F47">
        <w:rPr>
          <w:rFonts w:eastAsia="Times New Roman"/>
          <w:szCs w:val="24"/>
          <w:lang w:val="en-US" w:eastAsia="ru-RU"/>
        </w:rPr>
        <w:t>OBS</w:t>
      </w:r>
      <w:r w:rsidRPr="00725F47">
        <w:rPr>
          <w:rFonts w:eastAsia="Times New Roman"/>
          <w:szCs w:val="24"/>
          <w:lang w:eastAsia="ru-RU"/>
        </w:rPr>
        <w:t>) от структурной декомпозиции проекта (WBS)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Организация создания АИС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Инвестиционные венчурные фонды и банки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Бизнес-план, его функции и структура.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стоимостью в проекте.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рисками в проекте.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Математические модели оценки частных рисков. Дерево решений.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Методы управления рисками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proofErr w:type="spellStart"/>
      <w:r w:rsidRPr="00725F47">
        <w:rPr>
          <w:rFonts w:eastAsia="Times New Roman"/>
          <w:szCs w:val="24"/>
          <w:lang w:eastAsia="ru-RU"/>
        </w:rPr>
        <w:t>Многопроектное</w:t>
      </w:r>
      <w:proofErr w:type="spellEnd"/>
      <w:r w:rsidRPr="00725F47">
        <w:rPr>
          <w:rFonts w:eastAsia="Times New Roman"/>
          <w:szCs w:val="24"/>
          <w:lang w:eastAsia="ru-RU"/>
        </w:rPr>
        <w:t xml:space="preserve"> управление. Методы </w:t>
      </w:r>
      <w:proofErr w:type="spellStart"/>
      <w:r w:rsidRPr="00725F47">
        <w:rPr>
          <w:rFonts w:eastAsia="Times New Roman"/>
          <w:szCs w:val="24"/>
          <w:lang w:eastAsia="ru-RU"/>
        </w:rPr>
        <w:t>многопроектного</w:t>
      </w:r>
      <w:proofErr w:type="spellEnd"/>
      <w:r w:rsidRPr="00725F47">
        <w:rPr>
          <w:rFonts w:eastAsia="Times New Roman"/>
          <w:szCs w:val="24"/>
          <w:lang w:eastAsia="ru-RU"/>
        </w:rPr>
        <w:t xml:space="preserve"> управления.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Виды программного обеспечения для управления проектами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lastRenderedPageBreak/>
        <w:t>Проектирование автоматизированных информационных систем (АИС)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затратами.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Финансирование проекта.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персоналом в проекте.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Качество и стандарты качества.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качеством в проектах.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коммуникациями в проектах.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Цель и виды контроля хода работ.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Оперативное управление ходом выполнения проекта и контроль календарных планов.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Управление изменениями.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Завершение проекта.</w:t>
      </w:r>
    </w:p>
    <w:p w:rsidR="00725F47" w:rsidRPr="00725F47" w:rsidRDefault="00725F47" w:rsidP="00EB52AA">
      <w:pPr>
        <w:numPr>
          <w:ilvl w:val="0"/>
          <w:numId w:val="14"/>
        </w:numPr>
        <w:ind w:left="0"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Автоматизированная обработка информации</w:t>
      </w:r>
    </w:p>
    <w:p w:rsidR="00725F47" w:rsidRDefault="00725F4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</w:p>
    <w:p w:rsidR="00725F47" w:rsidRPr="00A37F77" w:rsidRDefault="00725F4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</w:p>
    <w:p w:rsidR="00A37F77" w:rsidRDefault="00A37F77" w:rsidP="00EB52AA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 xml:space="preserve">жуточной аттестации </w:t>
      </w:r>
      <w:proofErr w:type="gramStart"/>
      <w:r w:rsidR="00EA2EC8">
        <w:rPr>
          <w:rFonts w:eastAsia="Times New Roman"/>
          <w:bCs/>
          <w:iCs/>
          <w:szCs w:val="24"/>
        </w:rPr>
        <w:t>обучающихся</w:t>
      </w:r>
      <w:proofErr w:type="gramEnd"/>
      <w:r w:rsidRPr="00A37F77">
        <w:rPr>
          <w:rFonts w:eastAsia="Times New Roman"/>
          <w:bCs/>
          <w:iCs/>
          <w:szCs w:val="24"/>
        </w:rPr>
        <w:t>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p w:rsidR="00725F47" w:rsidRPr="00725F47" w:rsidRDefault="00725F47" w:rsidP="00725F47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725F47" w:rsidRPr="00725F47" w:rsidRDefault="00725F47" w:rsidP="00725F47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725F47" w:rsidRPr="00725F47" w:rsidRDefault="00725F47" w:rsidP="00725F47">
      <w:pPr>
        <w:numPr>
          <w:ilvl w:val="0"/>
          <w:numId w:val="1"/>
        </w:numPr>
        <w:tabs>
          <w:tab w:val="left" w:pos="1493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b/>
          <w:bCs/>
          <w:sz w:val="26"/>
          <w:szCs w:val="26"/>
          <w:lang w:eastAsia="ru-RU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725F47">
        <w:rPr>
          <w:rFonts w:eastAsia="Times New Roman"/>
          <w:szCs w:val="24"/>
          <w:lang w:eastAsia="ru-RU"/>
        </w:rPr>
        <w:t>ремя ответа – не более 15 минут.</w:t>
      </w:r>
    </w:p>
    <w:p w:rsidR="00725F47" w:rsidRPr="00725F47" w:rsidRDefault="00725F47" w:rsidP="00725F47">
      <w:pPr>
        <w:numPr>
          <w:ilvl w:val="0"/>
          <w:numId w:val="1"/>
        </w:numPr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725F47" w:rsidRPr="00725F47" w:rsidRDefault="00725F47" w:rsidP="00725F47">
      <w:pPr>
        <w:numPr>
          <w:ilvl w:val="0"/>
          <w:numId w:val="1"/>
        </w:numPr>
        <w:tabs>
          <w:tab w:val="left" w:pos="1260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725F47" w:rsidRPr="00725F47" w:rsidRDefault="00725F47" w:rsidP="00725F47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 xml:space="preserve">Экзаменатору предоставляется право задавать </w:t>
      </w:r>
      <w:proofErr w:type="gramStart"/>
      <w:r w:rsidRPr="00725F47">
        <w:rPr>
          <w:rFonts w:eastAsia="Times New Roman"/>
          <w:szCs w:val="24"/>
          <w:lang w:eastAsia="ru-RU"/>
        </w:rPr>
        <w:t>обучающимся</w:t>
      </w:r>
      <w:proofErr w:type="gramEnd"/>
      <w:r w:rsidRPr="00725F47">
        <w:rPr>
          <w:rFonts w:eastAsia="Times New Roman"/>
          <w:szCs w:val="24"/>
          <w:lang w:eastAsia="ru-RU"/>
        </w:rPr>
        <w:t xml:space="preserve">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725F47" w:rsidRPr="00725F47" w:rsidRDefault="00725F47" w:rsidP="00725F47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r w:rsidRPr="00725F47">
        <w:rPr>
          <w:rFonts w:eastAsia="Times New Roman"/>
          <w:szCs w:val="24"/>
          <w:lang w:eastAsia="ru-RU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60105F" w:rsidRPr="0060105F" w:rsidRDefault="0060105F" w:rsidP="0060105F">
      <w:pPr>
        <w:tabs>
          <w:tab w:val="left" w:pos="1276"/>
        </w:tabs>
        <w:ind w:left="360" w:firstLine="0"/>
        <w:rPr>
          <w:rFonts w:eastAsia="Times New Roman"/>
          <w:szCs w:val="24"/>
          <w:lang w:eastAsia="ru-RU"/>
        </w:rPr>
      </w:pPr>
      <w:r w:rsidRPr="0060105F">
        <w:rPr>
          <w:rFonts w:eastAsia="Times New Roman"/>
          <w:szCs w:val="24"/>
          <w:lang w:eastAsia="ru-RU"/>
        </w:rPr>
        <w:t>Процедура защиты курсовой работы (проекта) определена Положением о курсовых работах (проектах).</w:t>
      </w:r>
    </w:p>
    <w:p w:rsidR="00A37F77" w:rsidRPr="00725F47" w:rsidRDefault="00A37F77" w:rsidP="00725F47">
      <w:pPr>
        <w:numPr>
          <w:ilvl w:val="0"/>
          <w:numId w:val="1"/>
        </w:numPr>
        <w:tabs>
          <w:tab w:val="left" w:pos="1134"/>
        </w:tabs>
        <w:contextualSpacing/>
        <w:jc w:val="left"/>
        <w:rPr>
          <w:rFonts w:eastAsia="Times New Roman"/>
          <w:szCs w:val="24"/>
          <w:lang w:eastAsia="ru-RU"/>
        </w:rPr>
      </w:pPr>
      <w:proofErr w:type="gramStart"/>
      <w:r w:rsidRPr="00725F47">
        <w:rPr>
          <w:rFonts w:eastAsia="Times New Roman"/>
          <w:szCs w:val="24"/>
          <w:lang w:eastAsia="ru-RU"/>
        </w:rPr>
        <w:lastRenderedPageBreak/>
        <w:t>Оценка по курсовой работе (курсовому проекту) выставляется на основании результатов защиты на комиссии обучающимся курсовой работы (проекта) при непосредственном участии преподавателей кафедры (структурного подразделения), руководителя курсовой работы (проекта), с возможным присутствием других обучающихся из учебной группы.</w:t>
      </w:r>
      <w:proofErr w:type="gramEnd"/>
      <w:r w:rsidRPr="00725F47">
        <w:rPr>
          <w:rFonts w:eastAsia="Times New Roman"/>
          <w:szCs w:val="24"/>
          <w:lang w:eastAsia="ru-RU"/>
        </w:rPr>
        <w:t xml:space="preserve"> Одной из форм защиты может быть презентация курсовой работы (проекта). Результаты защиты (оценка) вносятся в аттестационную ведомость курсовой работы (проекта) с указанием темы курсовой работы (проекта), а также в зачетную книжку в раздел «Курсовые проекты (работы)».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 w:themeColor="accen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  <w:proofErr w:type="gramEnd"/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AF1C13" w:rsidRPr="00A37F77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EB52AA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 xml:space="preserve">мероприятий текущего </w:t>
      </w:r>
      <w:proofErr w:type="gramStart"/>
      <w:r>
        <w:rPr>
          <w:rFonts w:eastAsia="Times New Roman"/>
          <w:b/>
          <w:bCs/>
          <w:szCs w:val="24"/>
          <w:lang w:eastAsia="ru-RU"/>
        </w:rPr>
        <w:t>контроля</w:t>
      </w:r>
      <w:proofErr w:type="gramEnd"/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EB52AA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</w:t>
      </w:r>
      <w:proofErr w:type="gramStart"/>
      <w:r w:rsidRPr="00D7622C">
        <w:rPr>
          <w:bCs/>
          <w:i/>
        </w:rPr>
        <w:t>дств дл</w:t>
      </w:r>
      <w:proofErr w:type="gramEnd"/>
      <w:r w:rsidRPr="00D7622C">
        <w:rPr>
          <w:bCs/>
          <w:i/>
        </w:rPr>
        <w:t>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>Фонд оценочных сре</w:t>
      </w:r>
      <w:proofErr w:type="gramStart"/>
      <w:r w:rsidRPr="00826398">
        <w:rPr>
          <w:bCs/>
          <w:i/>
        </w:rPr>
        <w:t>дств дл</w:t>
      </w:r>
      <w:proofErr w:type="gramEnd"/>
      <w:r w:rsidRPr="00826398">
        <w:rPr>
          <w:bCs/>
          <w:i/>
        </w:rPr>
        <w:t xml:space="preserve">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725F47" w:rsidRDefault="00813CAB" w:rsidP="00EB52AA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725F47">
        <w:rPr>
          <w:bCs/>
          <w:i/>
        </w:rPr>
        <w:t>материалы для проведения текущего контроля успеваемости</w:t>
      </w:r>
    </w:p>
    <w:p w:rsidR="00813CAB" w:rsidRPr="00725F47" w:rsidRDefault="00813CAB" w:rsidP="00EB52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25F47">
        <w:rPr>
          <w:bCs/>
          <w:i/>
        </w:rPr>
        <w:t>варианты контрольных заданий;</w:t>
      </w:r>
    </w:p>
    <w:p w:rsidR="00813CAB" w:rsidRPr="00725F47" w:rsidRDefault="00813CAB" w:rsidP="00EB52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25F47">
        <w:rPr>
          <w:bCs/>
          <w:i/>
        </w:rPr>
        <w:t>вопросы к компьютерному тестированию с вариантами ответов;</w:t>
      </w:r>
    </w:p>
    <w:p w:rsidR="00813CAB" w:rsidRPr="00725F47" w:rsidRDefault="00813CAB" w:rsidP="00EB52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25F47">
        <w:rPr>
          <w:bCs/>
          <w:i/>
        </w:rPr>
        <w:t>варианты домашних заданий и расчетно-графических работ;</w:t>
      </w:r>
    </w:p>
    <w:p w:rsidR="00813CAB" w:rsidRPr="00725F47" w:rsidRDefault="00813CAB" w:rsidP="00EB52AA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725F47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725F47" w:rsidRDefault="00813CAB" w:rsidP="00EB52AA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725F47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EB52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EB52AA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EB52AA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proofErr w:type="gramStart"/>
      <w:r w:rsidRPr="00D7622C">
        <w:rPr>
          <w:i/>
          <w:u w:val="single"/>
        </w:rPr>
        <w:t>реферата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EB52AA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 xml:space="preserve">результатов </w:t>
      </w:r>
      <w:proofErr w:type="gramStart"/>
      <w:r w:rsidRPr="00A81F77">
        <w:rPr>
          <w:i/>
          <w:u w:val="single"/>
        </w:rPr>
        <w:t>тестирования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EB52AA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Правильность ответа или выбора ответа,</w:t>
      </w:r>
    </w:p>
    <w:p w:rsidR="00D7622C" w:rsidRDefault="00D7622C" w:rsidP="00EB52AA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EB52AA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EB52AA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EB52AA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EB52AA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 xml:space="preserve">контрольных работ, домашних заданий и расчётно-графических </w:t>
      </w:r>
      <w:proofErr w:type="gramStart"/>
      <w:r w:rsidRPr="00A81F77">
        <w:rPr>
          <w:i/>
          <w:u w:val="single"/>
        </w:rPr>
        <w:t>работ</w:t>
      </w:r>
      <w:proofErr w:type="gramEnd"/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 xml:space="preserve">Характеристики действий </w:t>
            </w:r>
            <w:proofErr w:type="gramStart"/>
            <w:r w:rsidRPr="00A81F77">
              <w:rPr>
                <w:bCs/>
                <w:sz w:val="22"/>
              </w:rPr>
              <w:t>обучающегося</w:t>
            </w:r>
            <w:proofErr w:type="gramEnd"/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proofErr w:type="gramStart"/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</w:t>
            </w:r>
            <w:proofErr w:type="gramEnd"/>
            <w:r w:rsidRPr="00A81F77">
              <w:rPr>
                <w:sz w:val="22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proofErr w:type="gramStart"/>
            <w:r w:rsidRPr="00A81F77">
              <w:rPr>
                <w:sz w:val="22"/>
              </w:rPr>
              <w:t>Обучающийся</w:t>
            </w:r>
            <w:proofErr w:type="gramEnd"/>
            <w:r w:rsidRPr="00A81F77">
              <w:rPr>
                <w:sz w:val="22"/>
              </w:rPr>
              <w:t xml:space="preserve">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 xml:space="preserve">деловых игр и </w:t>
      </w:r>
      <w:proofErr w:type="gramStart"/>
      <w:r w:rsidRPr="00A81F77">
        <w:rPr>
          <w:i/>
          <w:u w:val="single"/>
        </w:rPr>
        <w:t>тренингов</w:t>
      </w:r>
      <w:proofErr w:type="gramEnd"/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</w:t>
            </w:r>
            <w:r w:rsidRPr="00A81F77">
              <w:rPr>
                <w:sz w:val="22"/>
              </w:rPr>
              <w:lastRenderedPageBreak/>
              <w:t xml:space="preserve">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proofErr w:type="gramStart"/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  <w:proofErr w:type="gramEnd"/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</w:t>
            </w:r>
            <w:proofErr w:type="gramEnd"/>
            <w:r>
              <w:rPr>
                <w:rFonts w:eastAsia="Times New Roman"/>
                <w:bCs/>
                <w:i/>
                <w:szCs w:val="24"/>
                <w:lang w:eastAsia="ru-RU"/>
              </w:rPr>
              <w:t>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Объявление результатов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9 неделя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 xml:space="preserve">На практическом </w:t>
            </w: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725F47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>
        <w:rPr>
          <w:rFonts w:cs="+mn-cs"/>
          <w:color w:val="000000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725F47">
        <w:rPr>
          <w:rFonts w:cs="+mn-cs"/>
          <w:kern w:val="24"/>
        </w:rPr>
        <w:t>:</w:t>
      </w:r>
    </w:p>
    <w:p w:rsidR="00A5547E" w:rsidRPr="00725F47" w:rsidRDefault="00A5547E" w:rsidP="00EB52AA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25F47">
        <w:rPr>
          <w:rFonts w:cs="+mn-cs"/>
          <w:kern w:val="24"/>
        </w:rPr>
        <w:t>Экзаменационные билеты</w:t>
      </w:r>
    </w:p>
    <w:p w:rsidR="00306136" w:rsidRPr="00725F47" w:rsidRDefault="00306136" w:rsidP="00EB52AA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25F47">
        <w:t>Б</w:t>
      </w:r>
      <w:r w:rsidR="00A5547E" w:rsidRPr="00725F47">
        <w:t>ланк для оценки ответа обучающегося экзаменатором</w:t>
      </w:r>
      <w:r w:rsidRPr="00725F47">
        <w:t>.</w:t>
      </w:r>
      <w:r w:rsidRPr="00725F47">
        <w:rPr>
          <w:rFonts w:cs="+mn-cs"/>
          <w:kern w:val="24"/>
        </w:rPr>
        <w:t xml:space="preserve"> </w:t>
      </w:r>
    </w:p>
    <w:p w:rsidR="00306136" w:rsidRPr="00725F47" w:rsidRDefault="00306136" w:rsidP="00EB52AA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25F47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725F47" w:rsidRDefault="00306136" w:rsidP="00EB52AA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25F47">
        <w:rPr>
          <w:rFonts w:cs="+mn-cs"/>
          <w:kern w:val="24"/>
        </w:rPr>
        <w:t>Варианты задач для домашней (контрольной) работы.</w:t>
      </w:r>
    </w:p>
    <w:p w:rsidR="00306136" w:rsidRPr="00725F47" w:rsidRDefault="00306136" w:rsidP="00EB52AA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725F47">
        <w:rPr>
          <w:rFonts w:cs="+mn-cs"/>
          <w:kern w:val="24"/>
        </w:rPr>
        <w:t>Вопросы и ответы  для тестирования</w:t>
      </w:r>
      <w:r w:rsidR="00C47031" w:rsidRPr="00725F47">
        <w:rPr>
          <w:rFonts w:cs="+mn-cs"/>
          <w:kern w:val="24"/>
        </w:rPr>
        <w:t>.</w:t>
      </w:r>
    </w:p>
    <w:p w:rsidR="00306136" w:rsidRPr="00725F47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725F47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725F47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725F47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725F47" w:rsidRDefault="00306136" w:rsidP="00306136">
      <w:pPr>
        <w:spacing w:after="12"/>
        <w:ind w:left="1413" w:right="1474"/>
        <w:jc w:val="center"/>
      </w:pPr>
      <w:r w:rsidRPr="00725F47">
        <w:rPr>
          <w:b/>
        </w:rPr>
        <w:t xml:space="preserve">ОЦЕНОЧНЫЙ ЛИСТ </w:t>
      </w:r>
    </w:p>
    <w:p w:rsidR="00306136" w:rsidRPr="00725F47" w:rsidRDefault="00306136" w:rsidP="00306136">
      <w:pPr>
        <w:spacing w:after="12"/>
        <w:ind w:left="1413" w:right="1478"/>
        <w:jc w:val="center"/>
      </w:pPr>
      <w:r w:rsidRPr="00725F47">
        <w:rPr>
          <w:b/>
        </w:rPr>
        <w:t>защиты курсового проекта/курсовой работы</w:t>
      </w:r>
    </w:p>
    <w:p w:rsidR="00306136" w:rsidRPr="00725F47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725F47">
        <w:rPr>
          <w:color w:val="auto"/>
        </w:rPr>
        <w:t xml:space="preserve">ФИО _______________________________________ Группа____________   </w:t>
      </w:r>
    </w:p>
    <w:p w:rsidR="00306136" w:rsidRPr="00725F47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725F47">
        <w:rPr>
          <w:color w:val="auto"/>
        </w:rPr>
        <w:t xml:space="preserve">ФИО Преподавателя_______________________________ </w:t>
      </w:r>
    </w:p>
    <w:p w:rsidR="00306136" w:rsidRPr="00725F47" w:rsidRDefault="00306136" w:rsidP="00306136">
      <w:pPr>
        <w:spacing w:after="3"/>
        <w:ind w:left="-5" w:right="59"/>
      </w:pPr>
      <w:r w:rsidRPr="00725F47">
        <w:t xml:space="preserve">ДАТА ____________________________  </w:t>
      </w:r>
    </w:p>
    <w:p w:rsidR="00306136" w:rsidRPr="00725F47" w:rsidRDefault="00306136" w:rsidP="00306136">
      <w:pPr>
        <w:spacing w:after="3"/>
        <w:ind w:left="-5" w:right="59"/>
      </w:pPr>
      <w:r w:rsidRPr="00725F47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725F47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Отметка </w:t>
            </w:r>
          </w:p>
        </w:tc>
      </w:tr>
      <w:tr w:rsidR="00306136" w:rsidRPr="00725F47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I. КАЧЕСТВО РАБОТЫ/ ПРОЕКТА </w:t>
            </w:r>
          </w:p>
        </w:tc>
      </w:tr>
      <w:tr w:rsidR="00306136" w:rsidRPr="00725F47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</w:pPr>
            <w:r w:rsidRPr="00725F47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>Общая оценка за выполнение КП/</w:t>
            </w:r>
            <w:proofErr w:type="gramStart"/>
            <w:r w:rsidRPr="00725F47">
              <w:t>КР</w:t>
            </w:r>
            <w:proofErr w:type="gramEnd"/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II. КАЧЕСТВО ДОКЛАДА </w:t>
            </w:r>
          </w:p>
        </w:tc>
      </w:tr>
      <w:tr w:rsidR="00306136" w:rsidRPr="00725F47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III. ОТВЕТЫ НА ДОПОЛНИТЕЛЬНЫЕ ВОПРОСЫ ПО СОДЕРЖАНИЮ РАБОТЫ </w:t>
            </w:r>
          </w:p>
        </w:tc>
      </w:tr>
      <w:tr w:rsidR="00306136" w:rsidRPr="00725F47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25F47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lastRenderedPageBreak/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25F47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725F47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725F47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  <w:tr w:rsidR="00306136" w:rsidRPr="00725F47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  <w:p w:rsidR="00306136" w:rsidRPr="00725F47" w:rsidRDefault="00306136" w:rsidP="00306136">
            <w:pPr>
              <w:ind w:firstLine="0"/>
              <w:jc w:val="left"/>
            </w:pPr>
            <w:r w:rsidRPr="00725F47">
              <w:t xml:space="preserve"> </w:t>
            </w:r>
          </w:p>
        </w:tc>
      </w:tr>
    </w:tbl>
    <w:p w:rsidR="00306136" w:rsidRPr="00725F47" w:rsidRDefault="00306136" w:rsidP="00306136">
      <w:pPr>
        <w:ind w:firstLine="0"/>
        <w:jc w:val="left"/>
      </w:pPr>
      <w:r w:rsidRPr="00725F47">
        <w:t xml:space="preserve"> </w:t>
      </w:r>
    </w:p>
    <w:p w:rsidR="00306136" w:rsidRPr="00725F47" w:rsidRDefault="00306136" w:rsidP="00306136">
      <w:pPr>
        <w:spacing w:after="3"/>
        <w:ind w:right="59" w:firstLine="0"/>
      </w:pPr>
      <w:r w:rsidRPr="00725F47">
        <w:t xml:space="preserve">Общий комментарий </w:t>
      </w:r>
    </w:p>
    <w:p w:rsidR="00306136" w:rsidRPr="00725F47" w:rsidRDefault="00306136" w:rsidP="00306136">
      <w:pPr>
        <w:spacing w:after="3"/>
        <w:ind w:left="-5" w:right="59" w:firstLine="0"/>
      </w:pPr>
      <w:r w:rsidRPr="00725F47">
        <w:t xml:space="preserve">___________________________________________________________________________ </w:t>
      </w:r>
    </w:p>
    <w:p w:rsidR="00306136" w:rsidRPr="00725F47" w:rsidRDefault="00306136" w:rsidP="00306136">
      <w:pPr>
        <w:autoSpaceDE w:val="0"/>
        <w:autoSpaceDN w:val="0"/>
        <w:adjustRightInd w:val="0"/>
      </w:pPr>
      <w:r w:rsidRPr="00725F47">
        <w:t>Рекомендации _____________________________________________________________________________</w:t>
      </w:r>
    </w:p>
    <w:p w:rsidR="00306136" w:rsidRPr="00725F47" w:rsidRDefault="00306136" w:rsidP="00306136">
      <w:pPr>
        <w:autoSpaceDE w:val="0"/>
        <w:autoSpaceDN w:val="0"/>
        <w:adjustRightInd w:val="0"/>
      </w:pPr>
    </w:p>
    <w:p w:rsidR="00306136" w:rsidRPr="00725F47" w:rsidRDefault="00306136" w:rsidP="00306136">
      <w:pPr>
        <w:autoSpaceDE w:val="0"/>
        <w:autoSpaceDN w:val="0"/>
        <w:adjustRightInd w:val="0"/>
      </w:pPr>
    </w:p>
    <w:p w:rsidR="00306136" w:rsidRPr="00725F47" w:rsidRDefault="00306136" w:rsidP="00306136">
      <w:pPr>
        <w:autoSpaceDE w:val="0"/>
        <w:autoSpaceDN w:val="0"/>
        <w:adjustRightInd w:val="0"/>
      </w:pPr>
      <w:bookmarkStart w:id="0" w:name="_GoBack"/>
      <w:bookmarkEnd w:id="0"/>
    </w:p>
    <w:sectPr w:rsidR="00306136" w:rsidRPr="00725F47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AFE"/>
    <w:multiLevelType w:val="singleLevel"/>
    <w:tmpl w:val="35DA50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8E0212C"/>
    <w:multiLevelType w:val="hybridMultilevel"/>
    <w:tmpl w:val="FE1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21B28"/>
    <w:multiLevelType w:val="hybridMultilevel"/>
    <w:tmpl w:val="FE1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51E749C"/>
    <w:multiLevelType w:val="hybridMultilevel"/>
    <w:tmpl w:val="FE1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976" w:hanging="283"/>
        </w:p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279B3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56692"/>
    <w:rsid w:val="00595839"/>
    <w:rsid w:val="005967F8"/>
    <w:rsid w:val="005A310D"/>
    <w:rsid w:val="005C52BC"/>
    <w:rsid w:val="005F71C8"/>
    <w:rsid w:val="0060105F"/>
    <w:rsid w:val="00691217"/>
    <w:rsid w:val="006C1111"/>
    <w:rsid w:val="006D2A0A"/>
    <w:rsid w:val="006F763C"/>
    <w:rsid w:val="007202AB"/>
    <w:rsid w:val="00725F47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B52AA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2015-10-04T19:51:00Z</dcterms:created>
  <dcterms:modified xsi:type="dcterms:W3CDTF">2015-10-21T10:49:00Z</dcterms:modified>
</cp:coreProperties>
</file>