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0B3B62" w:rsidRPr="000B3B62">
        <w:rPr>
          <w:rFonts w:eastAsia="Times New Roman"/>
          <w:b/>
          <w:bCs/>
          <w:szCs w:val="24"/>
          <w:lang w:eastAsia="ru-RU"/>
        </w:rPr>
        <w:t>Разработка систем автоматизации проектирования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0B3B6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0B3B62" w:rsidRPr="00C62760" w:rsidRDefault="000B3B6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B62" w:rsidRPr="00C62760" w:rsidRDefault="000B3B6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0B3B6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B62" w:rsidRPr="00C62760" w:rsidRDefault="000B3B62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0B3B6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0B3B62" w:rsidRPr="00C62760" w:rsidRDefault="000B3B6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0B3B62" w:rsidRPr="00C62760" w:rsidRDefault="000B3B6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0B3B6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0B3B62" w:rsidRPr="00C62760" w:rsidRDefault="000B3B62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0B3B6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0B3B62" w:rsidRPr="00C62760" w:rsidRDefault="000B3B6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B62" w:rsidRPr="00C62760" w:rsidRDefault="000B3B62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0B3B62" w:rsidRPr="000B3B62">
        <w:rPr>
          <w:bCs/>
          <w:szCs w:val="24"/>
        </w:rPr>
        <w:t>Разработка систем автоматизации проектирования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0B3B62" w:rsidRPr="000B3B6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0B3B62" w:rsidRPr="001F26ED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и принципы разработки систем автоматизации проектирования (РСАП). Структура и содержание дисциплины.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  <w:vAlign w:val="center"/>
          </w:tcPr>
          <w:p w:rsidR="000B3B62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 w:rsidRPr="002A59B0">
              <w:rPr>
                <w:sz w:val="20"/>
                <w:szCs w:val="20"/>
              </w:rPr>
              <w:t>Техническое обеспечение САПР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  <w:vAlign w:val="center"/>
          </w:tcPr>
          <w:p w:rsidR="000B3B62" w:rsidRPr="002A59B0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 w:rsidRPr="0095305E">
              <w:rPr>
                <w:sz w:val="20"/>
                <w:szCs w:val="20"/>
              </w:rPr>
              <w:t>Математическое обеспечение анализа проектных решений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  <w:vAlign w:val="center"/>
          </w:tcPr>
          <w:p w:rsidR="000B3B62" w:rsidRPr="0095305E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 w:rsidRPr="005134AE">
              <w:rPr>
                <w:sz w:val="20"/>
                <w:szCs w:val="20"/>
              </w:rPr>
              <w:t>Синтез проектных решений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  <w:vAlign w:val="center"/>
          </w:tcPr>
          <w:p w:rsidR="000B3B62" w:rsidRPr="0095305E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 w:rsidRPr="00F04794">
              <w:rPr>
                <w:sz w:val="20"/>
                <w:szCs w:val="20"/>
              </w:rPr>
              <w:t>Системные среды САПР</w:t>
            </w:r>
          </w:p>
        </w:tc>
      </w:tr>
      <w:tr w:rsidR="000B3B62" w:rsidRPr="00A32CEF" w:rsidTr="00E66A25">
        <w:tc>
          <w:tcPr>
            <w:tcW w:w="675" w:type="dxa"/>
          </w:tcPr>
          <w:p w:rsidR="000B3B62" w:rsidRPr="00A32CEF" w:rsidRDefault="000B3B6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0B3B62" w:rsidRPr="001F26ED" w:rsidRDefault="000B3B62" w:rsidP="000B3B62">
            <w:pPr>
              <w:pStyle w:val="a4"/>
              <w:spacing w:after="200"/>
              <w:ind w:left="0" w:firstLine="0"/>
              <w:rPr>
                <w:sz w:val="20"/>
                <w:szCs w:val="20"/>
              </w:rPr>
            </w:pPr>
            <w:r w:rsidRPr="00F04794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ы и средства</w:t>
            </w:r>
            <w:r w:rsidRPr="00F04794">
              <w:rPr>
                <w:sz w:val="20"/>
                <w:szCs w:val="20"/>
              </w:rPr>
              <w:t xml:space="preserve"> проектирования систем</w:t>
            </w:r>
            <w:r>
              <w:rPr>
                <w:sz w:val="20"/>
                <w:szCs w:val="20"/>
              </w:rPr>
              <w:t xml:space="preserve"> автоматизации проектирования (РСАП)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47"/>
        <w:gridCol w:w="1261"/>
        <w:gridCol w:w="3718"/>
        <w:gridCol w:w="1145"/>
      </w:tblGrid>
      <w:tr w:rsidR="000B3B62" w:rsidRPr="000B3B62" w:rsidTr="001D1C6D">
        <w:trPr>
          <w:jc w:val="center"/>
        </w:trPr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B3B62" w:rsidRPr="000B3B62" w:rsidTr="001D1C6D">
        <w:trPr>
          <w:trHeight w:val="1080"/>
          <w:jc w:val="center"/>
        </w:trPr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widowControl w:val="0"/>
              <w:tabs>
                <w:tab w:val="left" w:pos="1031"/>
              </w:tabs>
              <w:ind w:right="11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Способность  владения культурой мышления, наличие способности  к обобщению, анализу, восприятию информации,</w:t>
            </w:r>
          </w:p>
          <w:p w:rsidR="000B3B62" w:rsidRPr="000B3B62" w:rsidRDefault="000B3B62" w:rsidP="000B3B62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постановке цели и выбору путей ее достижения</w:t>
            </w:r>
          </w:p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ОК-1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widowControl w:val="0"/>
              <w:tabs>
                <w:tab w:val="left" w:pos="1031"/>
              </w:tabs>
              <w:ind w:right="11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Знает: - принципы создания и разработки систем автоматизации проектирования (САПР), обеспечивающие оптимальные условия проектирования зданий и сооружений для труда, быта и отдыха всех слоев населения.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0B3B62" w:rsidRPr="000B3B62" w:rsidTr="001D1C6D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- анализировать, воспринимать информацию, создавать научные основы  постановке цели и выбору путей её достижения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У 1</w:t>
            </w:r>
          </w:p>
        </w:tc>
      </w:tr>
      <w:tr w:rsidR="000B3B62" w:rsidRPr="000B3B62" w:rsidTr="001D1C6D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навыки: -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обощенного</w:t>
            </w:r>
            <w:proofErr w:type="spell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анализа исследовательской деятельности в области  и разработки систем автоматизации проектирования (САПР)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 1</w:t>
            </w:r>
          </w:p>
        </w:tc>
      </w:tr>
      <w:tr w:rsidR="000B3B62" w:rsidRPr="000B3B62" w:rsidTr="001D1C6D">
        <w:trPr>
          <w:trHeight w:val="966"/>
          <w:jc w:val="center"/>
        </w:trPr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spacing w:after="20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Способность 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  <w:p w:rsidR="000B3B62" w:rsidRPr="000B3B62" w:rsidRDefault="000B3B62" w:rsidP="000B3B62">
            <w:pPr>
              <w:spacing w:after="200"/>
              <w:ind w:left="72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ПК-2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новейшие  достижения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B3B62" w:rsidRPr="000B3B62" w:rsidTr="001D1C6D">
        <w:trPr>
          <w:trHeight w:val="1107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numPr>
                <w:ilvl w:val="0"/>
                <w:numId w:val="48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0B3B62" w:rsidRPr="000B3B62" w:rsidTr="001D1C6D">
        <w:trPr>
          <w:trHeight w:val="1028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разрабатывать  и теоретически  обосновывать принципиально новые системы взглядов на процесс и методы архитектурно - конструктивного проектирования зданий и сооружений </w:t>
            </w:r>
          </w:p>
        </w:tc>
        <w:tc>
          <w:tcPr>
            <w:tcW w:w="0" w:type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  <w:tr w:rsidR="000B3B62" w:rsidRPr="000B3B62" w:rsidTr="001D1C6D">
        <w:trPr>
          <w:trHeight w:val="697"/>
          <w:jc w:val="center"/>
        </w:trPr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Способность генерировать в процессе проектирования идеи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</w:t>
            </w:r>
          </w:p>
        </w:tc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: - алгоритмы и методы принятия управленческих решений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B3B62" w:rsidRPr="000B3B62" w:rsidTr="001D1C6D">
        <w:trPr>
          <w:trHeight w:val="1245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- генерировать в процессе проектирования идеи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У 3</w:t>
            </w:r>
          </w:p>
        </w:tc>
      </w:tr>
      <w:tr w:rsidR="000B3B62" w:rsidRPr="000B3B62" w:rsidTr="001D1C6D">
        <w:trPr>
          <w:trHeight w:val="492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proofErr w:type="gramStart"/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- реализации творческих концепций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 3</w:t>
            </w:r>
          </w:p>
        </w:tc>
      </w:tr>
      <w:tr w:rsidR="000B3B62" w:rsidRPr="000B3B62" w:rsidTr="001D1C6D">
        <w:trPr>
          <w:trHeight w:val="325"/>
          <w:jc w:val="center"/>
        </w:trPr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Способность готовить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      </w:r>
            <w:r w:rsidRPr="000B3B62">
              <w:rPr>
                <w:rFonts w:eastAsia="Times New Roman"/>
                <w:spacing w:val="-7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: - программное обеспечение реализующее генерацию отчётов по результатам выполненной работы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B3B62" w:rsidRPr="000B3B62" w:rsidTr="001D1C6D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proofErr w:type="gramStart"/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- оформлять результаты исследований в виде статей и докладов на научно-технических конференциях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У 4</w:t>
            </w:r>
          </w:p>
        </w:tc>
      </w:tr>
      <w:tr w:rsidR="000B3B62" w:rsidRPr="000B3B62" w:rsidTr="001D1C6D">
        <w:trPr>
          <w:trHeight w:val="520"/>
          <w:jc w:val="center"/>
        </w:trPr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spacing w:after="200" w:line="276" w:lineRule="auto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навыки: </w:t>
            </w:r>
            <w:proofErr w:type="gramStart"/>
            <w:r w:rsidRPr="000B3B62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оздания презентаций и отчётов по результатам исследований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 4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125"/>
        <w:gridCol w:w="1125"/>
        <w:gridCol w:w="1125"/>
        <w:gridCol w:w="1125"/>
        <w:gridCol w:w="1125"/>
        <w:gridCol w:w="1128"/>
      </w:tblGrid>
      <w:tr w:rsidR="000B3B62" w:rsidRPr="000B3B62" w:rsidTr="001D1C6D">
        <w:trPr>
          <w:trHeight w:val="270"/>
          <w:jc w:val="center"/>
        </w:trPr>
        <w:tc>
          <w:tcPr>
            <w:tcW w:w="1008" w:type="pct"/>
            <w:vMerge w:val="restar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3992" w:type="pct"/>
            <w:gridSpan w:val="6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0B3B62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0B3B62" w:rsidRPr="000B3B62" w:rsidTr="001D1C6D">
        <w:trPr>
          <w:trHeight w:val="234"/>
          <w:jc w:val="center"/>
        </w:trPr>
        <w:tc>
          <w:tcPr>
            <w:tcW w:w="1008" w:type="pct"/>
            <w:vMerge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 w:val="22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 w:val="22"/>
                <w:lang w:eastAsia="ru-RU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 w:val="22"/>
                <w:lang w:eastAsia="ru-RU"/>
              </w:rPr>
              <w:t>5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0B3B62">
              <w:rPr>
                <w:rFonts w:eastAsia="Times New Roman"/>
                <w:i/>
                <w:szCs w:val="24"/>
                <w:lang w:eastAsia="ru-RU"/>
              </w:rPr>
              <w:t>6</w:t>
            </w:r>
          </w:p>
        </w:tc>
      </w:tr>
      <w:tr w:rsidR="000B3B62" w:rsidRPr="000B3B62" w:rsidTr="001D1C6D">
        <w:trPr>
          <w:trHeight w:val="234"/>
          <w:jc w:val="center"/>
        </w:trPr>
        <w:tc>
          <w:tcPr>
            <w:tcW w:w="1008" w:type="pct"/>
            <w:shd w:val="clear" w:color="auto" w:fill="auto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 w:val="22"/>
                <w:szCs w:val="24"/>
                <w:lang w:eastAsia="ru-RU"/>
              </w:rPr>
              <w:t>ОК-1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  <w:tr w:rsidR="000B3B62" w:rsidRPr="000B3B62" w:rsidTr="001D1C6D">
        <w:trPr>
          <w:trHeight w:val="234"/>
          <w:jc w:val="center"/>
        </w:trPr>
        <w:tc>
          <w:tcPr>
            <w:tcW w:w="1008" w:type="pct"/>
            <w:shd w:val="clear" w:color="auto" w:fill="auto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</w:tr>
      <w:tr w:rsidR="000B3B62" w:rsidRPr="000B3B62" w:rsidTr="001D1C6D">
        <w:trPr>
          <w:trHeight w:val="234"/>
          <w:jc w:val="center"/>
        </w:trPr>
        <w:tc>
          <w:tcPr>
            <w:tcW w:w="1008" w:type="pct"/>
            <w:shd w:val="clear" w:color="auto" w:fill="auto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ПК-4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  <w:tr w:rsidR="000B3B62" w:rsidRPr="000B3B62" w:rsidTr="001D1C6D">
        <w:trPr>
          <w:trHeight w:val="234"/>
          <w:jc w:val="center"/>
        </w:trPr>
        <w:tc>
          <w:tcPr>
            <w:tcW w:w="1008" w:type="pct"/>
            <w:shd w:val="clear" w:color="auto" w:fill="auto"/>
          </w:tcPr>
          <w:p w:rsidR="000B3B62" w:rsidRPr="000B3B62" w:rsidRDefault="000B3B62" w:rsidP="000B3B6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ПК-7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0B3B62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0B3B62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3B62" w:rsidRPr="00A37F77" w:rsidTr="000B3B62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00" w:type="dxa"/>
            <w:textDirection w:val="btLr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542" w:type="dxa"/>
            <w:textDirection w:val="btL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</w:t>
            </w:r>
            <w:proofErr w:type="gramStart"/>
            <w:r w:rsidRPr="00A37F77">
              <w:rPr>
                <w:rFonts w:eastAsia="Times New Roman"/>
                <w:sz w:val="22"/>
                <w:lang w:eastAsia="ru-RU"/>
              </w:rPr>
              <w:t>т-</w:t>
            </w:r>
            <w:proofErr w:type="gramEnd"/>
            <w:r w:rsidRPr="00A37F77">
              <w:rPr>
                <w:rFonts w:eastAsia="Times New Roman"/>
                <w:sz w:val="22"/>
                <w:lang w:eastAsia="ru-RU"/>
              </w:rPr>
              <w:t>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B3B62" w:rsidRPr="00A37F77" w:rsidTr="000B3B62">
        <w:trPr>
          <w:jc w:val="center"/>
        </w:trPr>
        <w:tc>
          <w:tcPr>
            <w:tcW w:w="98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К-1</w:t>
            </w: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proofErr w:type="gramStart"/>
            <w:r w:rsidRPr="001F26E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proofErr w:type="gramStart"/>
            <w:r w:rsidRPr="001F26ED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ПК-2</w:t>
            </w: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proofErr w:type="gramStart"/>
            <w:r w:rsidRPr="001F26ED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Merge w:val="restart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A37F77" w:rsidRDefault="000B3B62" w:rsidP="00E92EF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CD412C">
        <w:trPr>
          <w:jc w:val="center"/>
        </w:trPr>
        <w:tc>
          <w:tcPr>
            <w:tcW w:w="983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0B3B62" w:rsidRPr="00A37F77" w:rsidRDefault="000B3B62" w:rsidP="00E92EF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59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Align w:val="center"/>
          </w:tcPr>
          <w:p w:rsidR="000B3B62" w:rsidRPr="001F26ED" w:rsidRDefault="000B3B62" w:rsidP="000B3B6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0B3B62" w:rsidRPr="00A37F77" w:rsidTr="000B3B62">
        <w:trPr>
          <w:trHeight w:val="343"/>
          <w:jc w:val="center"/>
        </w:trPr>
        <w:tc>
          <w:tcPr>
            <w:tcW w:w="2327" w:type="dxa"/>
            <w:gridSpan w:val="2"/>
          </w:tcPr>
          <w:p w:rsidR="000B3B62" w:rsidRPr="00A37F77" w:rsidRDefault="000B3B62" w:rsidP="000B3B6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42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9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0B3B62" w:rsidRPr="00A37F77" w:rsidRDefault="000B3B62" w:rsidP="000B3B6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i/>
          <w:color w:val="4F81BD" w:themeColor="accent1"/>
          <w:sz w:val="20"/>
          <w:szCs w:val="20"/>
          <w:lang w:eastAsia="ru-RU"/>
        </w:rPr>
      </w:pPr>
    </w:p>
    <w:p w:rsidR="000B3B62" w:rsidRPr="00A37F77" w:rsidRDefault="000B3B62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</w:t>
      </w:r>
      <w:proofErr w:type="gramStart"/>
      <w:r w:rsidRPr="00900228">
        <w:rPr>
          <w:rFonts w:eastAsia="Times New Roman"/>
          <w:bCs/>
          <w:iCs/>
          <w:szCs w:val="24"/>
        </w:rPr>
        <w:t>курсовую</w:t>
      </w:r>
      <w:proofErr w:type="gramEnd"/>
      <w:r w:rsidRPr="00900228">
        <w:rPr>
          <w:rFonts w:eastAsia="Times New Roman"/>
          <w:bCs/>
          <w:iCs/>
          <w:szCs w:val="24"/>
        </w:rPr>
        <w:t xml:space="preserve">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0B3B62" w:rsidRPr="000B3B62" w:rsidTr="001D1C6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0B3B62" w:rsidRPr="000B3B62" w:rsidTr="001D1C6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0B3B62" w:rsidRPr="000B3B62" w:rsidTr="001D1C6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З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Д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опускает существенные ошибки. Не может проиллюстрировать полученные знания в процессе выполнения курсового проекта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принципов создания здоровой среды обитания, обеспечивающей оптимальные условия для труда, быта и отдыха всех слоев населения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допускает неточности, что приводит к удовлетворительному уровню выполнения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принципов 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здоровой среды обитания, обеспечивающей оптимальные условия для труда быта и отдыха всех слоев населения, что позволяет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успешно 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принципов 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здоровой среды обитания, обеспечивающей оптимальные условия для труда, быта и отдыха всех слоев населения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принципов 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здоровой среды обитания, обеспечивающей оптимальные условия для труда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быта и отдыха всех слоев населения,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курсового проекта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показывает практических навыков в выполнении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здоровой среды обитания, обеспечивающей оптимальные условия для труда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быта и отдыха всех слоев населения,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прочные навыки проектной работы в области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здоровой среды обитания, обеспечивающей оптимальные условия для труда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быта и отдыха всех слоев населения,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проектной работы в области формирования основных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принципов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создания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здоровой среды обитания, обеспечивающей оптимальные условия для труда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быта и отдыха всех слоев населения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курсовом проекте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значительного объема программного материала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, допускает существенные ошибки, необходимые практические компетенции не сформированы, что 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Не позволяет выполнить курсовой проект на требуемом уровне.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но не усвоил его деталей,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правильно применяет теоретические положения при решении практических вопросов и задач в процессе курсового проектирования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курсовом проекте.</w:t>
            </w:r>
            <w:proofErr w:type="gramEnd"/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, С трудом осуществляет логическую связь теории с практикой,  не усвоил деталей, испытывает затруднения в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применении теоретических положений на практике, что позволяет выполнить курсовой проект на удовлетворительном уровне.</w:t>
            </w:r>
            <w:proofErr w:type="gramEnd"/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. Умеет логически последовательно увязывать теоретические знания с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практикой, что 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; все предусмотренные программой задания выполнены, качество их выполнения оценено числом баллов, близким к максимальному; умеет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анализировать полученные результаты; проявляет самостоятельность при выполнении курсового проекта.</w:t>
            </w:r>
            <w:proofErr w:type="gramEnd"/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практических навыков в части применения знаний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Необходимые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части применения навыков в практической работе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Практические навыки сформированы, но позволяют выполнить курсовой проект 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 в части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новейших  достижений в области проектных решений и их реализации, а также новых методов архитектурно-конструктивного проектирования зданий и сооружений.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практической работы, но свободно оперирует объемом необходимых знаний в процессе выполнения курсового проекта.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допускает существенные ошибки, необходимые практические компетенции не сформированы. Не ориентируется в материале,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 в процессе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твердо знает материал 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экономических аспектов проектирования  зданий и сооружений,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правильно применяет теоретические положения при решении практических вопросов и задач в процессе выполнения курсового проекта.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процессе выполнения курсового проекта.</w:t>
            </w:r>
            <w:proofErr w:type="gramEnd"/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неуверенно, с большими затруднениями выполняет практические работы, необходимые практические 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компетенции не сформированы, 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сооружений, что не позволяет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экономических аспектов проектирования  зданий и сооружений,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усвоил его деталей, испытывает затруднения в применении теоретических положений на практике. Не умеет провести логическую связь теории с практикой.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в 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технических и экономических аспектов проектирования  зданий и сооружений</w:t>
            </w:r>
          </w:p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свободно справляется с задачами, вопросами и другими видами применения знаний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социальных, функциональных,  инженерно- технических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экономических аспектов проектирования  зданий и сооружений.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максимальному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; умеет анализировать полученные результаты; проявляет самостоятельность при выполнении курсового проекта.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в части применения знаний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не сформированы, что не позволяет выполнить практические задания курса, а также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усвоил знания только основного материала, но испытывает затруднения в части применения навыков в практической работе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социальных, функциональных,  инженерно- технических и экономических аспектов проектирования  зданий и сооружений.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курса, а также навыки исследовательской работы в  области собственного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прочные навыки исследовательской работы в области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социальных, функциональных,  инженерно- технических и экономических аспектов проектирования  зданий и сооружений</w:t>
            </w: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, но свободно оперирует объемом необходимых знаний в собственном научном исследовании.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У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не умеет генерировать в процессе проектирования идеи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концепций, что не позволяет ему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 в области генерации  новых идей в процессе проектирования, но умеет реализовывать творческие концепции, что позволяет ему выполнить курсовой проект с некоторыми неточностями.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 умеет успешно генерировать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в процессе проектирования идеи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концепций, что позволяет выполнить курсовой проект на хорошем уровне.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умеет генерировать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в процессе проектирования идеи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>реализацию творческих концепций, но и самостоятельно воплощает творческие идеи в практической деятельности при выполнении курсового проекта.</w:t>
            </w:r>
          </w:p>
        </w:tc>
      </w:tr>
      <w:tr w:rsidR="000B3B62" w:rsidRPr="000B3B62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Н</w:t>
            </w: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не имеет навыков генерации в процессе проектирования </w:t>
            </w:r>
            <w:proofErr w:type="gramStart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идей</w:t>
            </w:r>
            <w:proofErr w:type="gramEnd"/>
            <w:r w:rsidRPr="000B3B62">
              <w:rPr>
                <w:rFonts w:eastAsia="Times New Roman"/>
                <w:sz w:val="20"/>
                <w:szCs w:val="20"/>
                <w:lang w:eastAsia="ru-RU"/>
              </w:rPr>
              <w:t xml:space="preserve"> и осуществлять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реализацию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творческих концепций, не реализует их в экспериментальном курсовом проекте.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имеет навыки генерации в процессе проектирования идей и осуществления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творческих концепций, не уверенно реализует их в экспериментальном курсовом проекте, допускает неточности 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генерации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в процессе проектирования идей и осуществления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реализации творческих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концепций, что успешно проявляет в курсовом проектировании.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B62" w:rsidRPr="000B3B62" w:rsidRDefault="000B3B62" w:rsidP="000B3B62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 w:val="20"/>
                <w:szCs w:val="20"/>
              </w:rPr>
              <w:t xml:space="preserve"> не только имеет твердые навыки генерации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t>в процессе проектирования идей и осуществления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реализации творческих </w:t>
            </w:r>
            <w:r w:rsidRPr="000B3B62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концепций, но проявляет самостоятельную творческую активность в курсовом проектировании.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3958"/>
        <w:gridCol w:w="4064"/>
      </w:tblGrid>
      <w:tr w:rsidR="000B3B62" w:rsidRPr="000B3B62" w:rsidTr="001D1C6D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Код показателя оценивания</w:t>
            </w:r>
          </w:p>
        </w:tc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Оценка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Не зачтено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Зачтено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З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1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spacing w:after="200"/>
              <w:ind w:firstLine="63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 знает значительной части программного материала по системам искусственного интеллекта.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 xml:space="preserve">Обучающийся глубоко и прочно усвоил программный материал по системам искусственного интеллекта.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У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1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B3B62" w:rsidRPr="000B3B62" w:rsidRDefault="000B3B62" w:rsidP="000B3B62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Н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1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 показывает практических навыков в выполнении практических заданий, требуемых составом компетенций.  Не может изобразить базовые модели систем искусственного интеллекта, подготовить </w:t>
            </w:r>
            <w:r w:rsidRPr="000B3B62">
              <w:rPr>
                <w:rFonts w:eastAsia="Times New Roman"/>
                <w:szCs w:val="24"/>
                <w:lang w:eastAsia="ru-RU"/>
              </w:rPr>
              <w:t xml:space="preserve">презентацию функционирования </w:t>
            </w:r>
            <w:r w:rsidRPr="000B3B62">
              <w:rPr>
                <w:rFonts w:eastAsia="Times New Roman"/>
                <w:bCs/>
                <w:iCs/>
                <w:szCs w:val="24"/>
              </w:rPr>
              <w:t>модели систем искусственного интеллекта</w:t>
            </w:r>
            <w:r w:rsidRPr="000B3B6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имеет прочные навыки работы в области формирования и </w:t>
            </w:r>
            <w:r w:rsidRPr="000B3B62">
              <w:rPr>
                <w:rFonts w:eastAsia="Times New Roman"/>
                <w:szCs w:val="24"/>
                <w:lang w:eastAsia="ru-RU"/>
              </w:rPr>
              <w:t xml:space="preserve">презентации функционирования </w:t>
            </w:r>
            <w:r w:rsidRPr="000B3B62">
              <w:rPr>
                <w:rFonts w:eastAsia="Times New Roman"/>
                <w:bCs/>
                <w:iCs/>
                <w:szCs w:val="24"/>
              </w:rPr>
              <w:t>систем искусственного интеллекта</w:t>
            </w:r>
            <w:r w:rsidRPr="000B3B62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З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 xml:space="preserve">Обучающийся не знает значительного объема материала </w:t>
            </w:r>
            <w:r w:rsidRPr="000B3B62">
              <w:rPr>
                <w:rFonts w:eastAsia="Times New Roman"/>
                <w:bCs/>
                <w:iCs/>
                <w:szCs w:val="24"/>
              </w:rPr>
              <w:lastRenderedPageBreak/>
              <w:t xml:space="preserve">дисциплины  в части </w:t>
            </w:r>
            <w:r w:rsidRPr="000B3B62">
              <w:rPr>
                <w:rFonts w:eastAsia="Times New Roman"/>
                <w:spacing w:val="-3"/>
                <w:szCs w:val="24"/>
                <w:lang w:eastAsia="ru-RU"/>
              </w:rPr>
              <w:t xml:space="preserve">систем проектирования, показателей и методов оценки организационно-технологических решений, </w:t>
            </w:r>
            <w:r w:rsidRPr="000B3B62">
              <w:rPr>
                <w:rFonts w:eastAsia="Times New Roman"/>
                <w:szCs w:val="24"/>
                <w:lang w:eastAsia="ru-RU"/>
              </w:rPr>
              <w:t xml:space="preserve">типовую структуру </w:t>
            </w:r>
            <w:r w:rsidRPr="000B3B62">
              <w:rPr>
                <w:rFonts w:eastAsia="Times New Roman"/>
                <w:bCs/>
                <w:iCs/>
                <w:szCs w:val="24"/>
              </w:rPr>
              <w:t>модели систем искусственного интеллекта</w:t>
            </w:r>
            <w:r w:rsidRPr="000B3B62">
              <w:rPr>
                <w:rFonts w:eastAsia="Times New Roman"/>
                <w:szCs w:val="24"/>
                <w:lang w:eastAsia="ru-RU"/>
              </w:rPr>
              <w:t>;</w:t>
            </w:r>
            <w:r w:rsidRPr="000B3B62">
              <w:rPr>
                <w:rFonts w:eastAsia="Times New Roman"/>
                <w:spacing w:val="-3"/>
                <w:szCs w:val="24"/>
                <w:lang w:eastAsia="ru-RU"/>
              </w:rPr>
              <w:t xml:space="preserve"> </w:t>
            </w:r>
            <w:r w:rsidRPr="000B3B62">
              <w:rPr>
                <w:rFonts w:eastAsia="Times New Roman"/>
                <w:szCs w:val="24"/>
                <w:lang w:eastAsia="ru-RU"/>
              </w:rPr>
              <w:t>методы моделирования объектов и процессов;</w:t>
            </w:r>
            <w:r w:rsidRPr="000B3B62">
              <w:rPr>
                <w:rFonts w:eastAsia="Times New Roman"/>
                <w:spacing w:val="-3"/>
                <w:szCs w:val="24"/>
                <w:lang w:eastAsia="ru-RU"/>
              </w:rPr>
              <w:t xml:space="preserve"> </w:t>
            </w:r>
            <w:r w:rsidRPr="000B3B62">
              <w:rPr>
                <w:rFonts w:eastAsia="Times New Roman"/>
                <w:szCs w:val="24"/>
                <w:lang w:eastAsia="ru-RU"/>
              </w:rPr>
              <w:t>методы логик моделирования.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lastRenderedPageBreak/>
              <w:t xml:space="preserve">Обучающийся глубоко и прочно усвоил материал дисциплины. Умеет </w:t>
            </w:r>
            <w:r w:rsidRPr="000B3B62">
              <w:rPr>
                <w:rFonts w:eastAsia="Times New Roman"/>
                <w:bCs/>
                <w:iCs/>
                <w:szCs w:val="24"/>
              </w:rPr>
              <w:lastRenderedPageBreak/>
              <w:t>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 в практических задачах.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lastRenderedPageBreak/>
              <w:t>У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0B3B62" w:rsidRPr="000B3B62" w:rsidRDefault="000B3B62" w:rsidP="000B3B62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не умеет применять теоретические знания при решении практических задач.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jc w:val="right"/>
              <w:rPr>
                <w:rFonts w:eastAsia="Times New Roman"/>
                <w:bCs/>
                <w:iCs/>
                <w:szCs w:val="24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свободно справляется с задачами, вопросами и другими видами применения знаний </w:t>
            </w:r>
            <w:r w:rsidRPr="000B3B62">
              <w:rPr>
                <w:rFonts w:eastAsia="Times New Roman"/>
                <w:szCs w:val="24"/>
                <w:lang w:eastAsia="ru-RU"/>
              </w:rPr>
              <w:t>к сформулированной задаче. Умеет работать с разработанной структурой данных. К</w:t>
            </w:r>
            <w:r w:rsidRPr="000B3B62">
              <w:rPr>
                <w:rFonts w:eastAsia="Times New Roman"/>
                <w:bCs/>
                <w:iCs/>
                <w:szCs w:val="24"/>
              </w:rPr>
              <w:t xml:space="preserve">ачество выполнения этих работ оценено числом баллов, близким к 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максимальному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>. Умеет анализировать полученные результаты.</w:t>
            </w:r>
          </w:p>
        </w:tc>
      </w:tr>
      <w:tr w:rsidR="000B3B62" w:rsidRPr="000B3B62" w:rsidTr="001D1C6D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0B3B62">
              <w:rPr>
                <w:rFonts w:eastAsia="Times New Roman"/>
                <w:bCs/>
                <w:iCs/>
                <w:szCs w:val="24"/>
              </w:rPr>
              <w:t>Н</w:t>
            </w: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2</w:t>
            </w:r>
            <w:proofErr w:type="gramEnd"/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 имеет практических навыков </w:t>
            </w:r>
            <w:r w:rsidRPr="000B3B62">
              <w:rPr>
                <w:rFonts w:eastAsia="Times New Roman"/>
                <w:szCs w:val="24"/>
                <w:lang w:eastAsia="ru-RU"/>
              </w:rPr>
              <w:t>использования современных методов моделирования объектов. Необходимые компетенции не сформированы.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0B3B62" w:rsidRPr="000B3B62" w:rsidRDefault="000B3B62" w:rsidP="000B3B62">
            <w:pPr>
              <w:ind w:firstLine="0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B3B62">
              <w:rPr>
                <w:rFonts w:eastAsia="Times New Roman"/>
                <w:bCs/>
                <w:iCs/>
                <w:szCs w:val="24"/>
              </w:rPr>
              <w:t>Обучающийся</w:t>
            </w:r>
            <w:proofErr w:type="gramEnd"/>
            <w:r w:rsidRPr="000B3B62">
              <w:rPr>
                <w:rFonts w:eastAsia="Times New Roman"/>
                <w:bCs/>
                <w:iCs/>
                <w:szCs w:val="24"/>
              </w:rPr>
              <w:t xml:space="preserve"> не только имеет прочные навыки создания систем искусственного интеллекта, но  и свободно оперирует объемом необходимых знаний, </w:t>
            </w:r>
            <w:r w:rsidRPr="000B3B62">
              <w:rPr>
                <w:rFonts w:eastAsia="Times New Roman"/>
                <w:szCs w:val="24"/>
                <w:lang w:eastAsia="ru-RU"/>
              </w:rPr>
              <w:t>критериями и аппаратом оценки принимаемых решений, условиями и сценариями повышения уровня строительства.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0B3B62" w:rsidRPr="000B3B62" w:rsidRDefault="000B3B62" w:rsidP="000B3B6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0B3B62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0B3B62">
        <w:rPr>
          <w:rFonts w:eastAsia="Times New Roman"/>
          <w:bCs/>
          <w:iCs/>
          <w:szCs w:val="24"/>
          <w:lang w:eastAsia="ru-RU"/>
        </w:rPr>
        <w:t>Текущий контроль основан на учете выполнения аудиторных практических работ, домашнего задания.</w:t>
      </w:r>
    </w:p>
    <w:p w:rsidR="000B3B62" w:rsidRPr="000B3B62" w:rsidRDefault="000B3B62" w:rsidP="000B3B6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0B3B62">
        <w:rPr>
          <w:rFonts w:eastAsia="Times New Roman"/>
          <w:bCs/>
          <w:iCs/>
          <w:szCs w:val="24"/>
          <w:lang w:eastAsia="ru-RU"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0B3B62" w:rsidRPr="000B3B62" w:rsidRDefault="000B3B62" w:rsidP="000B3B6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0B3B62">
        <w:rPr>
          <w:rFonts w:eastAsia="Times New Roman"/>
          <w:bCs/>
          <w:iCs/>
          <w:szCs w:val="24"/>
          <w:lang w:eastAsia="ru-RU"/>
        </w:rPr>
        <w:t>Форма отчетности: реферат (15-20 страниц текста с иллюстрациями, необходимыми по сути исследования или отображающими его результаты).</w:t>
      </w:r>
    </w:p>
    <w:p w:rsidR="000B3B62" w:rsidRPr="000B3B62" w:rsidRDefault="000B3B62" w:rsidP="000B3B6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0B3B62">
        <w:rPr>
          <w:rFonts w:eastAsia="Times New Roman"/>
          <w:bCs/>
          <w:iCs/>
          <w:szCs w:val="24"/>
          <w:lang w:eastAsia="ru-RU"/>
        </w:rPr>
        <w:t>Защита самостоятельной работы происходит в форме собеседования по вопросам, которые предусмотрены курсом лекций и методической литературой.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0B3B62" w:rsidRPr="000B3B62" w:rsidRDefault="000B3B62" w:rsidP="000B3B62">
      <w:pPr>
        <w:ind w:left="-180" w:right="-140" w:firstLine="360"/>
        <w:rPr>
          <w:rFonts w:eastAsia="Times New Roman"/>
          <w:bCs/>
          <w:color w:val="000000"/>
          <w:spacing w:val="-5"/>
          <w:szCs w:val="24"/>
          <w:lang w:eastAsia="ru-RU"/>
        </w:rPr>
      </w:pPr>
      <w:r w:rsidRPr="000B3B62">
        <w:rPr>
          <w:rFonts w:eastAsia="Times New Roman"/>
          <w:bCs/>
          <w:szCs w:val="24"/>
          <w:lang w:eastAsia="ru-RU"/>
        </w:rPr>
        <w:lastRenderedPageBreak/>
        <w:t>Формой промежуточной аттестации является зачет в конце семестра. К зачету допускаются студенты, успешно выполнившие практические работы и выполнившие домашнюю работу.</w:t>
      </w:r>
      <w:r w:rsidRPr="000B3B62">
        <w:rPr>
          <w:rFonts w:eastAsia="Times New Roman"/>
          <w:bCs/>
          <w:color w:val="000000"/>
          <w:spacing w:val="-5"/>
          <w:szCs w:val="24"/>
          <w:lang w:eastAsia="ru-RU"/>
        </w:rPr>
        <w:t xml:space="preserve"> </w:t>
      </w:r>
    </w:p>
    <w:p w:rsidR="000B3B62" w:rsidRPr="000B3B62" w:rsidRDefault="000B3B62" w:rsidP="000B3B62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  <w:lang w:eastAsia="ru-RU"/>
        </w:rPr>
      </w:pPr>
    </w:p>
    <w:p w:rsidR="000B3B62" w:rsidRPr="000B3B62" w:rsidRDefault="000B3B62" w:rsidP="000B3B62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rFonts w:eastAsia="Times New Roman"/>
          <w:b/>
          <w:bCs/>
          <w:iCs/>
          <w:szCs w:val="24"/>
          <w:lang w:eastAsia="ru-RU"/>
        </w:rPr>
      </w:pPr>
      <w:r w:rsidRPr="000B3B62">
        <w:rPr>
          <w:rFonts w:eastAsia="Times New Roman"/>
          <w:b/>
          <w:bCs/>
          <w:iCs/>
          <w:szCs w:val="24"/>
          <w:lang w:eastAsia="ru-RU"/>
        </w:rPr>
        <w:t>Вопросы для оценки качества освоения дисциплины: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283"/>
      </w:tblGrid>
      <w:tr w:rsidR="000B3B62" w:rsidRPr="000B3B62" w:rsidTr="001D1C6D">
        <w:trPr>
          <w:gridAfter w:val="1"/>
          <w:wAfter w:w="283" w:type="dxa"/>
        </w:trPr>
        <w:tc>
          <w:tcPr>
            <w:tcW w:w="9288" w:type="dxa"/>
            <w:gridSpan w:val="2"/>
          </w:tcPr>
          <w:p w:rsidR="000B3B62" w:rsidRPr="000B3B62" w:rsidRDefault="000B3B62" w:rsidP="000B3B62">
            <w:pPr>
              <w:ind w:firstLine="0"/>
              <w:jc w:val="center"/>
              <w:rPr>
                <w:rFonts w:eastAsia="MS Mincho"/>
                <w:i/>
                <w:szCs w:val="20"/>
                <w:lang w:eastAsia="ru-RU"/>
              </w:rPr>
            </w:pPr>
            <w:r w:rsidRPr="000B3B62">
              <w:rPr>
                <w:rFonts w:eastAsia="MS Mincho"/>
                <w:i/>
                <w:szCs w:val="20"/>
                <w:lang w:eastAsia="ru-RU"/>
              </w:rPr>
              <w:t>Вопросы к экзамену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1. Предмет и задачи курса.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2. Структура и классификация САПР.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3. Проектирующие и обслуживающие подсистемы.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4. Виды обеспечения САПР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 5. Место САПР в интегрированных</w:t>
            </w:r>
            <w:r w:rsidRPr="000B3B62">
              <w:rPr>
                <w:rFonts w:eastAsia="Times New Roman"/>
                <w:spacing w:val="3"/>
                <w:sz w:val="18"/>
                <w:szCs w:val="24"/>
                <w:lang w:eastAsia="ru-RU"/>
              </w:rPr>
              <w:t xml:space="preserve"> 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системах проектирования, управления и производства.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shd w:val="clear" w:color="auto" w:fill="FFFFFF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6. САПР и информационные технологии.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Взаимосвязь автоматизации проектирования с развитием 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информационных технологий и их системная интеграция. </w:t>
            </w:r>
          </w:p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Определение и назначение САПР. </w:t>
            </w:r>
          </w:p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Место САПР в инвестиционных процессах.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Классификация САПР в строительной отрасли. </w:t>
            </w:r>
          </w:p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Состав, структура и 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системные среды САПР. </w:t>
            </w:r>
          </w:p>
          <w:p w:rsidR="000B3B62" w:rsidRPr="000B3B62" w:rsidRDefault="000B3B62" w:rsidP="000B3B62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Основные принципы создания САПР.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13. Место САПР и </w:t>
            </w: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>систем управления проектированием в проектной организации.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 14. Модели и методы анализа автоматизированных систем.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15. Математическое моделирование автоматизированных систем.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16. За</w:t>
            </w:r>
            <w:r w:rsidRPr="000B3B62">
              <w:rPr>
                <w:rFonts w:eastAsia="Times New Roman"/>
                <w:szCs w:val="24"/>
                <w:lang w:eastAsia="ru-RU"/>
              </w:rPr>
              <w:softHyphen/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дачи анализа автоматизированных систем.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7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17. Классификация моделей сложных </w:t>
            </w:r>
            <w:r w:rsidRPr="000B3B62">
              <w:rPr>
                <w:rFonts w:eastAsia="Times New Roman"/>
                <w:spacing w:val="7"/>
                <w:szCs w:val="24"/>
                <w:lang w:eastAsia="ru-RU"/>
              </w:rPr>
              <w:t>систем.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7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7"/>
                <w:szCs w:val="24"/>
                <w:lang w:eastAsia="ru-RU"/>
              </w:rPr>
              <w:t xml:space="preserve">18. Системы массового обслуживания (СМО).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2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7"/>
                <w:szCs w:val="24"/>
                <w:lang w:eastAsia="ru-RU"/>
              </w:rPr>
              <w:t xml:space="preserve">19. Аналитические модели </w:t>
            </w: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 xml:space="preserve">СМО.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2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 xml:space="preserve">20. Дисциплины обслуживания.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>21.Примеры аналитических моделей.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 22. Аналитические и имитационные модели.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23. Языки описания моделей.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24.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Организация событийного моделирования.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25.Сети Петри.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26. Анализ графов достижимости.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27. Разработка имитационных моделей сложных систем.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28. Системные среды САПР и методики проектирования автомати</w:t>
            </w:r>
            <w:r w:rsidRPr="000B3B62">
              <w:rPr>
                <w:rFonts w:eastAsia="Times New Roman"/>
                <w:szCs w:val="24"/>
                <w:lang w:eastAsia="ru-RU"/>
              </w:rPr>
              <w:softHyphen/>
            </w:r>
            <w:r w:rsidRPr="000B3B62">
              <w:rPr>
                <w:rFonts w:eastAsia="Times New Roman"/>
                <w:spacing w:val="1"/>
                <w:szCs w:val="24"/>
                <w:lang w:eastAsia="ru-RU"/>
              </w:rPr>
              <w:t>зированных систем.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29. Назначение, функции и состав системной среды САПР.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30. Управле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ние проектными данными, документооборотом, проектированием.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31. Интеграция </w:t>
            </w: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>автоматизированных систем.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32. Инструментальные среды разработки программного обеспечения.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33. 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Компонентно-ориентированные технологии разработки САПР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34. Понятие о тех</w:t>
            </w:r>
            <w:r w:rsidRPr="000B3B62">
              <w:rPr>
                <w:rFonts w:eastAsia="Times New Roman"/>
                <w:szCs w:val="24"/>
                <w:lang w:eastAsia="ru-RU"/>
              </w:rPr>
              <w:t>нологиях информационной поддержки жизненного цикла изделий (</w:t>
            </w:r>
            <w:r w:rsidRPr="000B3B62">
              <w:rPr>
                <w:rFonts w:eastAsia="Times New Roman"/>
                <w:szCs w:val="24"/>
                <w:lang w:val="en-US" w:eastAsia="ru-RU"/>
              </w:rPr>
              <w:t>CALS</w:t>
            </w:r>
            <w:r w:rsidRPr="000B3B62">
              <w:rPr>
                <w:rFonts w:eastAsia="Times New Roman"/>
                <w:szCs w:val="24"/>
                <w:lang w:eastAsia="ru-RU"/>
              </w:rPr>
              <w:t>-технологиях).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35. САПР как объект системотехники.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36. </w:t>
            </w:r>
            <w:proofErr w:type="gramStart"/>
            <w:r w:rsidRPr="000B3B62">
              <w:rPr>
                <w:rFonts w:eastAsia="Times New Roman"/>
                <w:szCs w:val="24"/>
                <w:lang w:eastAsia="ru-RU"/>
              </w:rPr>
              <w:t>Основные</w:t>
            </w:r>
            <w:proofErr w:type="gramEnd"/>
            <w:r w:rsidRPr="000B3B62">
              <w:rPr>
                <w:rFonts w:eastAsia="Times New Roman"/>
                <w:szCs w:val="24"/>
                <w:lang w:eastAsia="ru-RU"/>
              </w:rPr>
              <w:t xml:space="preserve"> понятие системотехники.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37. Стадии, этапы и стили проек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тирования сложных систем.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>38. Понятие об открытых системах. САПР как откры</w:t>
            </w:r>
            <w:r w:rsidRPr="000B3B62">
              <w:rPr>
                <w:rFonts w:eastAsia="Times New Roman"/>
                <w:spacing w:val="-1"/>
                <w:szCs w:val="24"/>
                <w:lang w:eastAsia="ru-RU"/>
              </w:rPr>
              <w:t>тая система.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7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39. Проектирование как иерархически развивающаяся система с ите</w:t>
            </w:r>
            <w:r w:rsidRPr="000B3B62">
              <w:rPr>
                <w:rFonts w:eastAsia="Times New Roman"/>
                <w:spacing w:val="7"/>
                <w:szCs w:val="24"/>
                <w:lang w:eastAsia="ru-RU"/>
              </w:rPr>
              <w:t xml:space="preserve">рационными процессами формирования и выбора проектных решений.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7"/>
                <w:szCs w:val="24"/>
                <w:lang w:eastAsia="ru-RU"/>
              </w:rPr>
              <w:t xml:space="preserve">40. Фазы </w:t>
            </w:r>
            <w:r w:rsidRPr="000B3B62">
              <w:rPr>
                <w:rFonts w:eastAsia="Times New Roman"/>
                <w:szCs w:val="24"/>
                <w:lang w:eastAsia="ru-RU"/>
              </w:rPr>
              <w:t xml:space="preserve">проектной деятельности.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41. Способы представления множества проектных реше</w:t>
            </w: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 xml:space="preserve">ний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>42. Методы поиска и принятие оптимальных проектных решений.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lastRenderedPageBreak/>
              <w:t>43. Структурный синтез строительных объектов как сложных систем.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8"/>
                <w:szCs w:val="24"/>
                <w:lang w:eastAsia="ru-RU"/>
              </w:rPr>
              <w:t xml:space="preserve">44. Моделирование проектной и строительной нормативной документации в </w:t>
            </w: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 xml:space="preserve">САПР.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8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2"/>
                <w:szCs w:val="24"/>
                <w:lang w:eastAsia="ru-RU"/>
              </w:rPr>
              <w:t>45. Интеллектуальные и распределенные САПР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46. Основы разработки САПР.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47. Виды обеспечения САПР и требования к ним.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4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48. Стадии разработки </w:t>
            </w:r>
            <w:r w:rsidRPr="000B3B62">
              <w:rPr>
                <w:rFonts w:eastAsia="Times New Roman"/>
                <w:spacing w:val="4"/>
                <w:szCs w:val="24"/>
                <w:lang w:eastAsia="ru-RU"/>
              </w:rPr>
              <w:t xml:space="preserve">САПР и этапы работ.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4"/>
                <w:szCs w:val="24"/>
                <w:lang w:eastAsia="ru-RU"/>
              </w:rPr>
              <w:t xml:space="preserve">49. Состав разрабатываемой документации. 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4"/>
                <w:szCs w:val="24"/>
                <w:lang w:eastAsia="ru-RU"/>
              </w:rPr>
              <w:t>50. Информацион</w:t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ный анализ потоков данных при разработке САПР.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4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51. Унификация межпрограммных интерфейсов и стандартизация форм обмена информацией в подсистемах </w:t>
            </w:r>
            <w:r w:rsidRPr="000B3B62">
              <w:rPr>
                <w:rFonts w:eastAsia="Times New Roman"/>
                <w:spacing w:val="-3"/>
                <w:szCs w:val="24"/>
                <w:lang w:eastAsia="ru-RU"/>
              </w:rPr>
              <w:t>САПР.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pacing w:val="3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52. Структурный синтез САПР и моделирование процессов функцио</w:t>
            </w:r>
            <w:r w:rsidRPr="000B3B62">
              <w:rPr>
                <w:rFonts w:eastAsia="Times New Roman"/>
                <w:szCs w:val="24"/>
                <w:lang w:eastAsia="ru-RU"/>
              </w:rPr>
              <w:softHyphen/>
            </w: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нирования системы. 53. Ввод в эксплуатацию САПР.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pacing w:val="3"/>
                <w:szCs w:val="24"/>
                <w:lang w:eastAsia="ru-RU"/>
              </w:rPr>
              <w:t xml:space="preserve">54.Промышленная эксплуатация </w:t>
            </w:r>
            <w:r w:rsidRPr="000B3B62">
              <w:rPr>
                <w:rFonts w:eastAsia="Times New Roman"/>
                <w:szCs w:val="24"/>
                <w:lang w:eastAsia="ru-RU"/>
              </w:rPr>
              <w:t xml:space="preserve"> развитие САПР.</w:t>
            </w:r>
          </w:p>
        </w:tc>
      </w:tr>
      <w:tr w:rsidR="000B3B62" w:rsidRPr="000B3B62" w:rsidTr="001D1C6D">
        <w:trPr>
          <w:gridBefore w:val="1"/>
          <w:wBefore w:w="108" w:type="dxa"/>
        </w:trPr>
        <w:tc>
          <w:tcPr>
            <w:tcW w:w="9463" w:type="dxa"/>
            <w:gridSpan w:val="2"/>
          </w:tcPr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55. Технология и стандарты информационной </w:t>
            </w:r>
            <w:proofErr w:type="gramStart"/>
            <w:r w:rsidRPr="000B3B62">
              <w:rPr>
                <w:rFonts w:eastAsia="Times New Roman"/>
                <w:szCs w:val="24"/>
                <w:lang w:eastAsia="ru-RU"/>
              </w:rPr>
              <w:t>поддержки этапов жизненного цикла объектов строительства</w:t>
            </w:r>
            <w:proofErr w:type="gramEnd"/>
            <w:r w:rsidRPr="000B3B62">
              <w:rPr>
                <w:rFonts w:eastAsia="Times New Roman"/>
                <w:szCs w:val="24"/>
                <w:lang w:eastAsia="ru-RU"/>
              </w:rPr>
              <w:t xml:space="preserve">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 xml:space="preserve">56. Оценка эффективности САПР на разных стадиях работ. </w:t>
            </w:r>
          </w:p>
          <w:p w:rsidR="000B3B62" w:rsidRPr="000B3B62" w:rsidRDefault="000B3B62" w:rsidP="000B3B6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B3B62">
              <w:rPr>
                <w:rFonts w:eastAsia="Times New Roman"/>
                <w:szCs w:val="24"/>
                <w:lang w:eastAsia="ru-RU"/>
              </w:rPr>
              <w:t>57. Обзор современных САПР в строительстве.</w:t>
            </w:r>
          </w:p>
        </w:tc>
      </w:tr>
    </w:tbl>
    <w:p w:rsidR="000B3B62" w:rsidRPr="000B3B62" w:rsidRDefault="000B3B62" w:rsidP="000B3B62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0B3B62" w:rsidRPr="000B3B62" w:rsidRDefault="000B3B62" w:rsidP="000B3B62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0B3B62" w:rsidRPr="000B3B62" w:rsidRDefault="000B3B62" w:rsidP="000B3B62">
      <w:pPr>
        <w:contextualSpacing/>
        <w:rPr>
          <w:rFonts w:eastAsia="Times New Roman"/>
          <w:bCs/>
          <w:iCs/>
          <w:szCs w:val="24"/>
        </w:rPr>
      </w:pPr>
      <w:r w:rsidRPr="000B3B62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ВПО «МГСУ».</w:t>
      </w:r>
    </w:p>
    <w:p w:rsidR="000B3B62" w:rsidRPr="000B3B62" w:rsidRDefault="000B3B62" w:rsidP="000B3B62">
      <w:pPr>
        <w:ind w:firstLine="0"/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szCs w:val="24"/>
          <w:lang w:eastAsia="ru-RU"/>
        </w:rP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</w:t>
      </w:r>
    </w:p>
    <w:p w:rsidR="000B3B62" w:rsidRPr="000B3B62" w:rsidRDefault="000B3B62" w:rsidP="000B3B62">
      <w:pPr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szCs w:val="24"/>
          <w:lang w:eastAsia="ru-RU"/>
        </w:rP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</w:t>
      </w:r>
    </w:p>
    <w:p w:rsidR="000B3B62" w:rsidRPr="000B3B62" w:rsidRDefault="000B3B62" w:rsidP="000B3B62">
      <w:pPr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szCs w:val="24"/>
          <w:lang w:eastAsia="ru-RU"/>
        </w:rPr>
        <w:t>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0B3B62" w:rsidRPr="000B3B62" w:rsidRDefault="000B3B62" w:rsidP="000B3B62">
      <w:pPr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szCs w:val="24"/>
          <w:lang w:eastAsia="ru-RU"/>
        </w:rP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0B3B62" w:rsidRPr="000B3B62" w:rsidRDefault="000B3B62" w:rsidP="000B3B62">
      <w:pPr>
        <w:contextualSpacing/>
        <w:rPr>
          <w:rFonts w:eastAsia="Times New Roman"/>
          <w:sz w:val="26"/>
          <w:szCs w:val="26"/>
          <w:lang w:eastAsia="ru-RU"/>
        </w:rPr>
      </w:pPr>
      <w:r w:rsidRPr="000B3B62">
        <w:rPr>
          <w:rFonts w:eastAsia="Times New Roman"/>
          <w:bCs/>
          <w:sz w:val="26"/>
          <w:szCs w:val="26"/>
          <w:lang w:eastAsia="ru-RU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</w:p>
    <w:p w:rsidR="000B3B62" w:rsidRPr="000B3B62" w:rsidRDefault="000B3B62" w:rsidP="000B3B62">
      <w:pPr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bCs/>
          <w:sz w:val="26"/>
          <w:szCs w:val="26"/>
          <w:lang w:eastAsia="ru-RU"/>
        </w:rPr>
        <w:t xml:space="preserve"> В</w:t>
      </w:r>
      <w:r w:rsidRPr="000B3B62">
        <w:rPr>
          <w:rFonts w:eastAsia="Times New Roman"/>
          <w:szCs w:val="24"/>
          <w:lang w:eastAsia="ru-RU"/>
        </w:rPr>
        <w:t>ремя ответа – не более 15 минут.</w:t>
      </w:r>
    </w:p>
    <w:p w:rsidR="000B3B62" w:rsidRPr="000B3B62" w:rsidRDefault="000B3B62" w:rsidP="000B3B62">
      <w:pPr>
        <w:contextualSpacing/>
        <w:rPr>
          <w:rFonts w:eastAsia="Times New Roman"/>
          <w:szCs w:val="24"/>
          <w:lang w:eastAsia="ru-RU"/>
        </w:rPr>
      </w:pPr>
      <w:r w:rsidRPr="000B3B62">
        <w:rPr>
          <w:rFonts w:eastAsia="Times New Roman"/>
          <w:szCs w:val="24"/>
          <w:lang w:eastAsia="ru-RU"/>
        </w:rPr>
        <w:t xml:space="preserve">- Оценка результатов устного аттестационного испытания объявляется обучающимся в день его проведения. </w:t>
      </w:r>
    </w:p>
    <w:p w:rsidR="000B3B62" w:rsidRPr="000B3B62" w:rsidRDefault="000B3B62" w:rsidP="000B3B62">
      <w:pPr>
        <w:autoSpaceDE w:val="0"/>
        <w:autoSpaceDN w:val="0"/>
        <w:adjustRightInd w:val="0"/>
        <w:ind w:left="709" w:firstLine="0"/>
        <w:contextualSpacing/>
        <w:rPr>
          <w:rFonts w:eastAsia="Times New Roman"/>
          <w:bCs/>
          <w:iCs/>
          <w:color w:val="4F81BD" w:themeColor="accent1"/>
          <w:szCs w:val="24"/>
        </w:rPr>
      </w:pP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0B3B62" w:rsidRDefault="00A37F77" w:rsidP="000B3B62">
      <w:pPr>
        <w:contextualSpacing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0B3B62">
        <w:rPr>
          <w:rFonts w:eastAsia="Times New Roman"/>
          <w:bCs/>
          <w:sz w:val="26"/>
          <w:szCs w:val="26"/>
          <w:lang w:eastAsia="ru-RU"/>
        </w:rPr>
        <w:t xml:space="preserve">Оценка по курсовой работе (курсовому проекту) выставляется на основании результатов защиты на комиссии обучающимся курсовой работы (проекта) при </w:t>
      </w:r>
      <w:r w:rsidRPr="000B3B62">
        <w:rPr>
          <w:rFonts w:eastAsia="Times New Roman"/>
          <w:bCs/>
          <w:sz w:val="26"/>
          <w:szCs w:val="26"/>
          <w:lang w:eastAsia="ru-RU"/>
        </w:rPr>
        <w:lastRenderedPageBreak/>
        <w:t>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</w:t>
      </w:r>
      <w:proofErr w:type="gramEnd"/>
      <w:r w:rsidRPr="000B3B62">
        <w:rPr>
          <w:rFonts w:eastAsia="Times New Roman"/>
          <w:bCs/>
          <w:sz w:val="26"/>
          <w:szCs w:val="26"/>
          <w:lang w:eastAsia="ru-RU"/>
        </w:rPr>
        <w:t xml:space="preserve">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0B3B62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0B3B62">
        <w:rPr>
          <w:bCs/>
          <w:i/>
        </w:rPr>
        <w:t>материалы для проведения текущего контроля успеваемости</w:t>
      </w:r>
    </w:p>
    <w:p w:rsidR="00813CAB" w:rsidRPr="000B3B6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0B3B62">
        <w:rPr>
          <w:bCs/>
          <w:i/>
        </w:rPr>
        <w:t>варианты контрольных заданий;</w:t>
      </w:r>
    </w:p>
    <w:p w:rsidR="00813CAB" w:rsidRPr="000B3B6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0B3B62">
        <w:rPr>
          <w:bCs/>
          <w:i/>
        </w:rPr>
        <w:t>вопросы к компьютерному тестированию с вариантами ответов;</w:t>
      </w:r>
    </w:p>
    <w:p w:rsidR="00813CAB" w:rsidRPr="000B3B6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0B3B62">
        <w:rPr>
          <w:bCs/>
          <w:i/>
        </w:rPr>
        <w:t>варианты домашних заданий и расчетно-графических работ;</w:t>
      </w:r>
    </w:p>
    <w:p w:rsidR="00813CAB" w:rsidRPr="000B3B6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0B3B62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</w:t>
            </w:r>
            <w:r w:rsidRPr="00A81F77">
              <w:rPr>
                <w:sz w:val="22"/>
              </w:rPr>
              <w:lastRenderedPageBreak/>
              <w:t xml:space="preserve">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306136" w:rsidRPr="000B3B62" w:rsidRDefault="00306136" w:rsidP="00306136">
      <w:pPr>
        <w:spacing w:after="12"/>
        <w:ind w:left="1413" w:right="1474"/>
        <w:jc w:val="center"/>
        <w:rPr>
          <w:b/>
        </w:rPr>
      </w:pPr>
      <w:bookmarkStart w:id="0" w:name="_GoBack"/>
      <w:bookmarkEnd w:id="0"/>
    </w:p>
    <w:p w:rsidR="00306136" w:rsidRPr="000B3B62" w:rsidRDefault="00306136" w:rsidP="00306136">
      <w:pPr>
        <w:spacing w:after="12"/>
        <w:ind w:left="1413" w:right="1474"/>
        <w:jc w:val="center"/>
      </w:pPr>
      <w:r w:rsidRPr="000B3B62">
        <w:rPr>
          <w:b/>
        </w:rPr>
        <w:t xml:space="preserve">ОЦЕНОЧНЫЙ ЛИСТ </w:t>
      </w:r>
    </w:p>
    <w:p w:rsidR="00306136" w:rsidRPr="000B3B62" w:rsidRDefault="00306136" w:rsidP="00306136">
      <w:pPr>
        <w:spacing w:after="12"/>
        <w:ind w:left="1413" w:right="1478"/>
        <w:jc w:val="center"/>
      </w:pPr>
      <w:r w:rsidRPr="000B3B62">
        <w:rPr>
          <w:b/>
        </w:rPr>
        <w:t>защиты курсового проекта/курсовой работы</w:t>
      </w:r>
    </w:p>
    <w:p w:rsidR="00306136" w:rsidRPr="000B3B62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0B3B62">
        <w:rPr>
          <w:color w:val="auto"/>
        </w:rPr>
        <w:t xml:space="preserve">ФИО _______________________________________ Группа____________   </w:t>
      </w:r>
    </w:p>
    <w:p w:rsidR="00306136" w:rsidRPr="000B3B62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0B3B62">
        <w:rPr>
          <w:color w:val="auto"/>
        </w:rPr>
        <w:t xml:space="preserve">ФИО Преподавателя_______________________________ </w:t>
      </w:r>
    </w:p>
    <w:p w:rsidR="00306136" w:rsidRPr="000B3B62" w:rsidRDefault="00306136" w:rsidP="00306136">
      <w:pPr>
        <w:spacing w:after="3"/>
        <w:ind w:left="-5" w:right="59"/>
      </w:pPr>
      <w:r w:rsidRPr="000B3B62">
        <w:t xml:space="preserve">ДАТА ____________________________  </w:t>
      </w:r>
    </w:p>
    <w:p w:rsidR="00306136" w:rsidRPr="000B3B62" w:rsidRDefault="00306136" w:rsidP="00306136">
      <w:pPr>
        <w:spacing w:after="3"/>
        <w:ind w:left="-5" w:right="59"/>
      </w:pPr>
      <w:r w:rsidRPr="000B3B62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0B3B62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Отметка </w:t>
            </w:r>
          </w:p>
        </w:tc>
      </w:tr>
      <w:tr w:rsidR="00306136" w:rsidRPr="000B3B62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I. КАЧЕСТВО РАБОТЫ/ ПРОЕКТА </w:t>
            </w:r>
          </w:p>
        </w:tc>
      </w:tr>
      <w:tr w:rsidR="00306136" w:rsidRPr="000B3B6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</w:pPr>
            <w:r w:rsidRPr="000B3B62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>Общая оценка за выполнение КП/</w:t>
            </w:r>
            <w:proofErr w:type="gramStart"/>
            <w:r w:rsidRPr="000B3B62">
              <w:t>КР</w:t>
            </w:r>
            <w:proofErr w:type="gramEnd"/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II. КАЧЕСТВО ДОКЛАДА </w:t>
            </w:r>
          </w:p>
        </w:tc>
      </w:tr>
      <w:tr w:rsidR="00306136" w:rsidRPr="000B3B6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III. ОТВЕТЫ НА ДОПОЛНИТЕЛЬНЫЕ ВОПРОСЫ ПО СОДЕРЖАНИЮ РАБОТЫ </w:t>
            </w:r>
          </w:p>
        </w:tc>
      </w:tr>
      <w:tr w:rsidR="00306136" w:rsidRPr="000B3B62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0B3B6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0B3B6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0B3B6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0B3B6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  <w:tr w:rsidR="00306136" w:rsidRPr="000B3B6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  <w:p w:rsidR="00306136" w:rsidRPr="000B3B62" w:rsidRDefault="00306136" w:rsidP="00306136">
            <w:pPr>
              <w:ind w:firstLine="0"/>
              <w:jc w:val="left"/>
            </w:pPr>
            <w:r w:rsidRPr="000B3B62">
              <w:t xml:space="preserve"> </w:t>
            </w:r>
          </w:p>
        </w:tc>
      </w:tr>
    </w:tbl>
    <w:p w:rsidR="00306136" w:rsidRPr="000B3B62" w:rsidRDefault="00306136" w:rsidP="00306136">
      <w:pPr>
        <w:ind w:firstLine="0"/>
        <w:jc w:val="left"/>
      </w:pPr>
      <w:r w:rsidRPr="000B3B62">
        <w:t xml:space="preserve"> </w:t>
      </w:r>
    </w:p>
    <w:p w:rsidR="00306136" w:rsidRPr="000B3B62" w:rsidRDefault="00306136" w:rsidP="00306136">
      <w:pPr>
        <w:spacing w:after="3"/>
        <w:ind w:right="59" w:firstLine="0"/>
      </w:pPr>
      <w:r w:rsidRPr="000B3B62">
        <w:t xml:space="preserve">Общий комментарий </w:t>
      </w:r>
    </w:p>
    <w:p w:rsidR="00306136" w:rsidRPr="000B3B62" w:rsidRDefault="00306136" w:rsidP="00306136">
      <w:pPr>
        <w:spacing w:after="3"/>
        <w:ind w:left="-5" w:right="59" w:firstLine="0"/>
      </w:pPr>
      <w:r w:rsidRPr="000B3B62">
        <w:t xml:space="preserve">___________________________________________________________________________ </w:t>
      </w:r>
    </w:p>
    <w:p w:rsidR="00306136" w:rsidRPr="000B3B62" w:rsidRDefault="00306136" w:rsidP="00306136">
      <w:pPr>
        <w:autoSpaceDE w:val="0"/>
        <w:autoSpaceDN w:val="0"/>
        <w:adjustRightInd w:val="0"/>
      </w:pPr>
      <w:r w:rsidRPr="000B3B62">
        <w:t>Рекомендации _____________________________________________________________________________</w:t>
      </w:r>
    </w:p>
    <w:p w:rsidR="00306136" w:rsidRPr="000B3B62" w:rsidRDefault="00306136" w:rsidP="00306136">
      <w:pPr>
        <w:autoSpaceDE w:val="0"/>
        <w:autoSpaceDN w:val="0"/>
        <w:adjustRightInd w:val="0"/>
      </w:pPr>
    </w:p>
    <w:p w:rsidR="00306136" w:rsidRPr="000B3B62" w:rsidRDefault="00306136" w:rsidP="00306136">
      <w:pPr>
        <w:autoSpaceDE w:val="0"/>
        <w:autoSpaceDN w:val="0"/>
        <w:adjustRightInd w:val="0"/>
      </w:pPr>
    </w:p>
    <w:p w:rsidR="00306136" w:rsidRPr="000B3B62" w:rsidRDefault="00306136" w:rsidP="00306136">
      <w:pPr>
        <w:autoSpaceDE w:val="0"/>
        <w:autoSpaceDN w:val="0"/>
        <w:adjustRightInd w:val="0"/>
      </w:pPr>
    </w:p>
    <w:sectPr w:rsidR="00306136" w:rsidRPr="000B3B62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C618DD"/>
    <w:multiLevelType w:val="multilevel"/>
    <w:tmpl w:val="7C6A64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4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7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4"/>
  </w:num>
  <w:num w:numId="3">
    <w:abstractNumId w:val="4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10"/>
  </w:num>
  <w:num w:numId="8">
    <w:abstractNumId w:val="23"/>
  </w:num>
  <w:num w:numId="9">
    <w:abstractNumId w:val="33"/>
  </w:num>
  <w:num w:numId="10">
    <w:abstractNumId w:val="46"/>
  </w:num>
  <w:num w:numId="11">
    <w:abstractNumId w:val="28"/>
  </w:num>
  <w:num w:numId="12">
    <w:abstractNumId w:val="22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6"/>
  </w:num>
  <w:num w:numId="18">
    <w:abstractNumId w:val="14"/>
  </w:num>
  <w:num w:numId="19">
    <w:abstractNumId w:val="35"/>
  </w:num>
  <w:num w:numId="20">
    <w:abstractNumId w:val="42"/>
  </w:num>
  <w:num w:numId="21">
    <w:abstractNumId w:val="19"/>
  </w:num>
  <w:num w:numId="22">
    <w:abstractNumId w:val="38"/>
  </w:num>
  <w:num w:numId="23">
    <w:abstractNumId w:val="34"/>
  </w:num>
  <w:num w:numId="24">
    <w:abstractNumId w:val="30"/>
  </w:num>
  <w:num w:numId="25">
    <w:abstractNumId w:val="1"/>
  </w:num>
  <w:num w:numId="26">
    <w:abstractNumId w:val="21"/>
  </w:num>
  <w:num w:numId="27">
    <w:abstractNumId w:val="0"/>
  </w:num>
  <w:num w:numId="28">
    <w:abstractNumId w:val="40"/>
  </w:num>
  <w:num w:numId="29">
    <w:abstractNumId w:val="17"/>
  </w:num>
  <w:num w:numId="30">
    <w:abstractNumId w:val="7"/>
  </w:num>
  <w:num w:numId="31">
    <w:abstractNumId w:val="29"/>
  </w:num>
  <w:num w:numId="32">
    <w:abstractNumId w:val="18"/>
  </w:num>
  <w:num w:numId="33">
    <w:abstractNumId w:val="15"/>
  </w:num>
  <w:num w:numId="34">
    <w:abstractNumId w:val="26"/>
  </w:num>
  <w:num w:numId="35">
    <w:abstractNumId w:val="9"/>
  </w:num>
  <w:num w:numId="36">
    <w:abstractNumId w:val="13"/>
  </w:num>
  <w:num w:numId="37">
    <w:abstractNumId w:val="12"/>
  </w:num>
  <w:num w:numId="38">
    <w:abstractNumId w:val="25"/>
  </w:num>
  <w:num w:numId="39">
    <w:abstractNumId w:val="43"/>
  </w:num>
  <w:num w:numId="40">
    <w:abstractNumId w:val="11"/>
  </w:num>
  <w:num w:numId="41">
    <w:abstractNumId w:val="45"/>
  </w:num>
  <w:num w:numId="42">
    <w:abstractNumId w:val="4"/>
  </w:num>
  <w:num w:numId="43">
    <w:abstractNumId w:val="37"/>
  </w:num>
  <w:num w:numId="44">
    <w:abstractNumId w:val="27"/>
  </w:num>
  <w:num w:numId="45">
    <w:abstractNumId w:val="32"/>
  </w:num>
  <w:num w:numId="46">
    <w:abstractNumId w:val="41"/>
  </w:num>
  <w:num w:numId="47">
    <w:abstractNumId w:val="2"/>
  </w:num>
  <w:num w:numId="48">
    <w:abstractNumId w:val="31"/>
  </w:num>
  <w:num w:numId="49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B3B62"/>
    <w:rsid w:val="000C5984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91CBC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31CF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5831</Words>
  <Characters>33241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2015-10-03T22:43:00Z</dcterms:created>
  <dcterms:modified xsi:type="dcterms:W3CDTF">2015-10-21T14:50:00Z</dcterms:modified>
</cp:coreProperties>
</file>